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68.png" ContentType="image/png"/>
  <Override PartName="/word/media/rId45.png" ContentType="image/png"/>
  <Override PartName="/word/media/rId49.png" ContentType="image/png"/>
  <Override PartName="/word/media/rId5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431</w:t>
      </w:r>
      <w:r>
        <w:t xml:space="preserve"> </w:t>
      </w:r>
      <w:r>
        <w:t xml:space="preserve">Class</w:t>
      </w:r>
      <w:r>
        <w:t xml:space="preserve"> </w:t>
      </w:r>
      <w:r>
        <w:t xml:space="preserve">13</w:t>
      </w:r>
    </w:p>
    <w:p>
      <w:pPr>
        <w:pStyle w:val="Author"/>
      </w:pPr>
      <w:r>
        <w:t xml:space="preserve">https://thomaselove.github.io/431-2024/</w:t>
      </w:r>
    </w:p>
    <w:p>
      <w:pPr>
        <w:pStyle w:val="Date"/>
      </w:pPr>
      <w:r>
        <w:t xml:space="preserve">2024-10-08</w:t>
      </w:r>
    </w:p>
    <w:bookmarkStart w:id="20" w:name="todays-agenda"/>
    <w:p>
      <w:pPr>
        <w:pStyle w:val="Heading2"/>
      </w:pPr>
      <w:r>
        <w:t xml:space="preserve">Today’s Agenda</w:t>
      </w:r>
    </w:p>
    <w:p>
      <w:pPr>
        <w:pStyle w:val="FirstParagraph"/>
      </w:pPr>
      <w:r>
        <w:t xml:space="preserve">Contingency Tables (Sections 13-14 in Course Book)</w:t>
      </w:r>
    </w:p>
    <w:p>
      <w:pPr>
        <w:pStyle w:val="Compact"/>
        <w:numPr>
          <w:ilvl w:val="0"/>
          <w:numId w:val="1001"/>
        </w:numPr>
      </w:pPr>
      <w:r>
        <w:t xml:space="preserve">Some Reminders about 2 x 2 tables</w:t>
      </w:r>
    </w:p>
    <w:p>
      <w:pPr>
        <w:pStyle w:val="Compact"/>
        <w:numPr>
          <w:ilvl w:val="0"/>
          <w:numId w:val="1001"/>
        </w:numPr>
      </w:pPr>
      <w:r>
        <w:t xml:space="preserve">Building a J x K Table</w:t>
      </w:r>
    </w:p>
    <w:p>
      <w:pPr>
        <w:pStyle w:val="Compact"/>
        <w:numPr>
          <w:ilvl w:val="0"/>
          <w:numId w:val="1001"/>
        </w:numPr>
      </w:pPr>
      <w:r>
        <w:t xml:space="preserve">Chi-Square Tests of Independence</w:t>
      </w:r>
    </w:p>
    <w:p>
      <w:pPr>
        <w:pStyle w:val="Compact"/>
        <w:numPr>
          <w:ilvl w:val="1"/>
          <w:numId w:val="1002"/>
        </w:numPr>
      </w:pPr>
      <w:r>
        <w:t xml:space="preserve">Cochran Conditions and Checking Assumptions</w:t>
      </w:r>
    </w:p>
    <w:p>
      <w:pPr>
        <w:pStyle w:val="Compact"/>
        <w:numPr>
          <w:ilvl w:val="0"/>
          <w:numId w:val="1001"/>
        </w:numPr>
      </w:pPr>
      <w:r>
        <w:t xml:space="preserve">Statistical Significance: What I Taught for Many Years</w:t>
      </w:r>
    </w:p>
    <w:p>
      <w:pPr>
        <w:pStyle w:val="Compact"/>
        <w:numPr>
          <w:ilvl w:val="0"/>
          <w:numId w:val="1001"/>
        </w:numPr>
      </w:pPr>
      <w:r>
        <w:t xml:space="preserve">Statistical Significance: What is the problem?</w:t>
      </w:r>
    </w:p>
    <w:bookmarkEnd w:id="20"/>
    <w:bookmarkStart w:id="21" w:name="todays-packages"/>
    <w:p>
      <w:pPr>
        <w:pStyle w:val="Heading2"/>
      </w:pPr>
      <w:r>
        <w:t xml:space="preserve">Today’s Packages</w:t>
      </w:r>
    </w:p>
    <w:p>
      <w:pPr>
        <w:pStyle w:val="SourceCode"/>
      </w:pPr>
      <w:r>
        <w:rPr>
          <w:rStyle w:val="FunctionTok"/>
        </w:rPr>
        <w:t xml:space="preserve">library</w:t>
      </w:r>
      <w:r>
        <w:rPr>
          <w:rStyle w:val="NormalTok"/>
        </w:rPr>
        <w:t xml:space="preserve">(janitor)</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w:t>
      </w:r>
      <w:r>
        <w:br/>
      </w:r>
      <w:r>
        <w:br/>
      </w:r>
      <w:r>
        <w:rPr>
          <w:rStyle w:val="FunctionTok"/>
        </w:rPr>
        <w:t xml:space="preserve">source</w:t>
      </w:r>
      <w:r>
        <w:rPr>
          <w:rStyle w:val="NormalTok"/>
        </w:rPr>
        <w:t xml:space="preserve">(</w:t>
      </w:r>
      <w:r>
        <w:rPr>
          <w:rStyle w:val="StringTok"/>
        </w:rPr>
        <w:t xml:space="preserve">"c13/data/Love-431.R"</w:t>
      </w:r>
      <w:r>
        <w:rPr>
          <w:rStyle w:val="NormalTok"/>
        </w:rPr>
        <w:t xml:space="preserve">)</w:t>
      </w:r>
    </w:p>
    <w:bookmarkEnd w:id="21"/>
    <w:bookmarkStart w:id="22" w:name="tb-prevalence-in-iv-drug-users"/>
    <w:p>
      <w:pPr>
        <w:pStyle w:val="Heading2"/>
      </w:pPr>
      <w:r>
        <w:t xml:space="preserve">TB Prevalence in IV Drug Users</w:t>
      </w:r>
    </w:p>
    <w:p>
      <w:pPr>
        <w:pStyle w:val="FirstParagraph"/>
      </w:pPr>
      <w:r>
        <w:t xml:space="preserve">Suppose now that we are investigating factors affecting tuberculosis prevalence among intravenous drug users.</w:t>
      </w:r>
    </w:p>
    <w:p>
      <w:pPr>
        <w:pStyle w:val="Compact"/>
        <w:numPr>
          <w:ilvl w:val="0"/>
          <w:numId w:val="1003"/>
        </w:numPr>
      </w:pPr>
      <w:r>
        <w:t xml:space="preserve">Among 97 individuals who admit to sharing needles,</w:t>
      </w:r>
    </w:p>
    <w:p>
      <w:pPr>
        <w:pStyle w:val="Compact"/>
        <w:numPr>
          <w:ilvl w:val="1"/>
          <w:numId w:val="1004"/>
        </w:numPr>
      </w:pPr>
      <w:r>
        <w:t xml:space="preserve">24 (24.7%) had a positive tuberculin skin test result.</w:t>
      </w:r>
    </w:p>
    <w:p>
      <w:pPr>
        <w:pStyle w:val="Compact"/>
        <w:numPr>
          <w:ilvl w:val="0"/>
          <w:numId w:val="1003"/>
        </w:numPr>
      </w:pPr>
      <w:r>
        <w:t xml:space="preserve">Among 161 drug users who deny sharing needles,</w:t>
      </w:r>
    </w:p>
    <w:p>
      <w:pPr>
        <w:pStyle w:val="Compact"/>
        <w:numPr>
          <w:ilvl w:val="1"/>
          <w:numId w:val="1005"/>
        </w:numPr>
      </w:pPr>
      <w:r>
        <w:t xml:space="preserve">28 (17.4%) had a positive test result.</w:t>
      </w:r>
    </w:p>
    <w:p>
      <w:pPr>
        <w:pStyle w:val="FirstParagraph"/>
      </w:pPr>
      <w:r>
        <w:t xml:space="preserve">What does the 2x2 table look like?</w:t>
      </w:r>
    </w:p>
    <w:bookmarkEnd w:id="22"/>
    <w:bookmarkStart w:id="23" w:name="tb-prevalence-in-iv-drug-users-1"/>
    <w:p>
      <w:pPr>
        <w:pStyle w:val="Heading2"/>
      </w:pPr>
      <w:r>
        <w:t xml:space="preserve">TB Prevalence In IV Drug Users</w:t>
      </w:r>
    </w:p>
    <w:p>
      <w:pPr>
        <w:pStyle w:val="FirstParagraph"/>
      </w:pPr>
      <w:r>
        <w:t xml:space="preserve">The 2x2 Table is…</w:t>
      </w:r>
    </w:p>
    <w:p>
      <w:pPr>
        <w:pStyle w:val="SourceCode"/>
      </w:pPr>
      <w:r>
        <w:rPr>
          <w:rStyle w:val="VerbatimChar"/>
        </w:rPr>
        <w:t xml:space="preserve">             TB+   TB-</w:t>
      </w:r>
      <w:r>
        <w:br/>
      </w:r>
      <w:r>
        <w:rPr>
          <w:rStyle w:val="VerbatimChar"/>
        </w:rPr>
        <w:t xml:space="preserve">    share     24    73</w:t>
      </w:r>
      <w:r>
        <w:br/>
      </w:r>
      <w:r>
        <w:rPr>
          <w:rStyle w:val="VerbatimChar"/>
        </w:rPr>
        <w:t xml:space="preserve">    don't     28   133</w:t>
      </w:r>
    </w:p>
    <w:p>
      <w:pPr>
        <w:pStyle w:val="Compact"/>
        <w:numPr>
          <w:ilvl w:val="0"/>
          <w:numId w:val="1006"/>
        </w:numPr>
      </w:pPr>
      <w:r>
        <w:t xml:space="preserve">Standard Epidemiological Format</w:t>
      </w:r>
    </w:p>
    <w:p>
      <w:pPr>
        <w:pStyle w:val="Compact"/>
        <w:numPr>
          <w:ilvl w:val="1"/>
          <w:numId w:val="1007"/>
        </w:numPr>
      </w:pPr>
      <w:r>
        <w:t xml:space="preserve">rows describe needle sharing</w:t>
      </w:r>
    </w:p>
    <w:p>
      <w:pPr>
        <w:pStyle w:val="Compact"/>
        <w:numPr>
          <w:ilvl w:val="1"/>
          <w:numId w:val="1007"/>
        </w:numPr>
      </w:pPr>
      <w:r>
        <w:t xml:space="preserve">columns describe TB test result</w:t>
      </w:r>
    </w:p>
    <w:p>
      <w:pPr>
        <w:pStyle w:val="Compact"/>
        <w:numPr>
          <w:ilvl w:val="0"/>
          <w:numId w:val="1006"/>
        </w:numPr>
      </w:pPr>
      <w:r>
        <w:t xml:space="preserve">row 1 people who share needles: 24 TB+, and 97-24 = 73 TB-</w:t>
      </w:r>
    </w:p>
    <w:p>
      <w:pPr>
        <w:pStyle w:val="Compact"/>
        <w:numPr>
          <w:ilvl w:val="0"/>
          <w:numId w:val="1006"/>
        </w:numPr>
      </w:pPr>
      <w:r>
        <w:t xml:space="preserve">row 2 people who don’t share: 28 TB+ and 161-28 = 133 TB-</w:t>
      </w:r>
    </w:p>
    <w:bookmarkEnd w:id="23"/>
    <w:bookmarkStart w:id="24" w:name="twobytwo-with-bayesian-augmentation"/>
    <w:p>
      <w:pPr>
        <w:pStyle w:val="Heading2"/>
      </w:pPr>
      <w:r>
        <w:rPr>
          <w:rStyle w:val="VerbatimChar"/>
        </w:rPr>
        <w:t xml:space="preserve">twobytwo</w:t>
      </w:r>
      <w:r>
        <w:t xml:space="preserve"> </w:t>
      </w:r>
      <w:r>
        <w:t xml:space="preserve">(with Bayesian Augmentation)</w:t>
      </w:r>
    </w:p>
    <w:p>
      <w:pPr>
        <w:pStyle w:val="FirstParagraph"/>
      </w:pPr>
      <w:r>
        <w:t xml:space="preserve">To start, we’ll test the null hypothesis that the population proportions of intravenous drug users who have a positive tuberculin skin test result are identical for those who share needles and those who do not.</w:t>
      </w:r>
    </w:p>
    <w:p>
      <w:pPr>
        <w:pStyle w:val="BodyText"/>
      </w:pPr>
      <w:r>
        <w:t xml:space="preserve">$$
H_0: \pi_{share} = \pi_{donotshare} \\
H_A: \pi_{share} \neq \pi_{donotshare}
$$</w:t>
      </w:r>
    </w:p>
    <w:p>
      <w:pPr>
        <w:pStyle w:val="FirstParagraph"/>
      </w:pPr>
      <w:r>
        <w:t xml:space="preserve">We’ll use the Bayesian augmentation.</w:t>
      </w:r>
    </w:p>
    <w:bookmarkEnd w:id="24"/>
    <w:bookmarkStart w:id="25" w:name="twobytwo-results-95-ci"/>
    <w:p>
      <w:pPr>
        <w:pStyle w:val="Heading2"/>
      </w:pPr>
      <w:r>
        <w:rPr>
          <w:rStyle w:val="VerbatimChar"/>
        </w:rPr>
        <w:t xml:space="preserve">twobytwo</w:t>
      </w:r>
      <w:r>
        <w:t xml:space="preserve"> </w:t>
      </w:r>
      <w:r>
        <w:t xml:space="preserve">results (95% CI)</w:t>
      </w:r>
    </w:p>
    <w:p>
      <w:pPr>
        <w:pStyle w:val="SourceCode"/>
      </w:pPr>
      <w:r>
        <w:rPr>
          <w:rStyle w:val="FunctionTok"/>
        </w:rPr>
        <w:t xml:space="preserve">twobytwo</w:t>
      </w:r>
      <w:r>
        <w:rPr>
          <w:rStyle w:val="NormalTok"/>
        </w:rPr>
        <w:t xml:space="preserve">(</w:t>
      </w:r>
      <w:r>
        <w:rPr>
          <w:rStyle w:val="DecValTok"/>
        </w:rPr>
        <w:t xml:space="preserve">24</w:t>
      </w:r>
      <w:r>
        <w:rPr>
          <w:rStyle w:val="SpecialCharTok"/>
        </w:rPr>
        <w:t xml:space="preserve">+</w:t>
      </w:r>
      <w:r>
        <w:rPr>
          <w:rStyle w:val="DecValTok"/>
        </w:rPr>
        <w:t xml:space="preserve">2</w:t>
      </w:r>
      <w:r>
        <w:rPr>
          <w:rStyle w:val="NormalTok"/>
        </w:rPr>
        <w:t xml:space="preserve">, </w:t>
      </w:r>
      <w:r>
        <w:rPr>
          <w:rStyle w:val="DecValTok"/>
        </w:rPr>
        <w:t xml:space="preserve">73</w:t>
      </w:r>
      <w:r>
        <w:rPr>
          <w:rStyle w:val="SpecialCharTok"/>
        </w:rPr>
        <w:t xml:space="preserve">+</w:t>
      </w:r>
      <w:r>
        <w:rPr>
          <w:rStyle w:val="DecValTok"/>
        </w:rPr>
        <w:t xml:space="preserve">2</w:t>
      </w:r>
      <w:r>
        <w:rPr>
          <w:rStyle w:val="NormalTok"/>
        </w:rPr>
        <w:t xml:space="preserve">, </w:t>
      </w:r>
      <w:r>
        <w:rPr>
          <w:rStyle w:val="DecValTok"/>
        </w:rPr>
        <w:t xml:space="preserve">28</w:t>
      </w:r>
      <w:r>
        <w:rPr>
          <w:rStyle w:val="SpecialCharTok"/>
        </w:rPr>
        <w:t xml:space="preserve">+</w:t>
      </w:r>
      <w:r>
        <w:rPr>
          <w:rStyle w:val="DecValTok"/>
        </w:rPr>
        <w:t xml:space="preserve">2</w:t>
      </w:r>
      <w:r>
        <w:rPr>
          <w:rStyle w:val="NormalTok"/>
        </w:rPr>
        <w:t xml:space="preserve">, </w:t>
      </w:r>
      <w:r>
        <w:rPr>
          <w:rStyle w:val="DecValTok"/>
        </w:rPr>
        <w:t xml:space="preserve">133</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StringTok"/>
        </w:rPr>
        <w:t xml:space="preserve">"Sharing"</w:t>
      </w:r>
      <w:r>
        <w:rPr>
          <w:rStyle w:val="NormalTok"/>
        </w:rPr>
        <w:t xml:space="preserve">, </w:t>
      </w:r>
      <w:r>
        <w:rPr>
          <w:rStyle w:val="StringTok"/>
        </w:rPr>
        <w:t xml:space="preserve">"Not Sharing"</w:t>
      </w:r>
      <w:r>
        <w:rPr>
          <w:rStyle w:val="NormalTok"/>
        </w:rPr>
        <w:t xml:space="preserve">, </w:t>
      </w:r>
      <w:r>
        <w:br/>
      </w:r>
      <w:r>
        <w:rPr>
          <w:rStyle w:val="NormalTok"/>
        </w:rPr>
        <w:t xml:space="preserve">         </w:t>
      </w:r>
      <w:r>
        <w:rPr>
          <w:rStyle w:val="StringTok"/>
        </w:rPr>
        <w:t xml:space="preserve">"TB test+"</w:t>
      </w:r>
      <w:r>
        <w:rPr>
          <w:rStyle w:val="NormalTok"/>
        </w:rPr>
        <w:t xml:space="preserve">, </w:t>
      </w:r>
      <w:r>
        <w:rPr>
          <w:rStyle w:val="StringTok"/>
        </w:rPr>
        <w:t xml:space="preserve">"TB test-"</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2 by 2 table analysis: </w:t>
      </w:r>
      <w:r>
        <w:br/>
      </w:r>
      <w:r>
        <w:rPr>
          <w:rStyle w:val="VerbatimChar"/>
        </w:rPr>
        <w:t xml:space="preserve">------------------------------------------------------ </w:t>
      </w:r>
      <w:r>
        <w:br/>
      </w:r>
      <w:r>
        <w:rPr>
          <w:rStyle w:val="VerbatimChar"/>
        </w:rPr>
        <w:t xml:space="preserve">Outcome   : TB test+ </w:t>
      </w:r>
      <w:r>
        <w:br/>
      </w:r>
      <w:r>
        <w:rPr>
          <w:rStyle w:val="VerbatimChar"/>
        </w:rPr>
        <w:t xml:space="preserve">Comparing : Sharing vs. Not Sharing </w:t>
      </w:r>
      <w:r>
        <w:br/>
      </w:r>
      <w:r>
        <w:br/>
      </w:r>
      <w:r>
        <w:rPr>
          <w:rStyle w:val="VerbatimChar"/>
        </w:rPr>
        <w:t xml:space="preserve">            TB test+ TB test-    P(TB test+) 95% conf. interval</w:t>
      </w:r>
      <w:r>
        <w:br/>
      </w:r>
      <w:r>
        <w:rPr>
          <w:rStyle w:val="VerbatimChar"/>
        </w:rPr>
        <w:t xml:space="preserve">Sharing           26       75         0.2574    0.1816   0.3513</w:t>
      </w:r>
      <w:r>
        <w:br/>
      </w:r>
      <w:r>
        <w:rPr>
          <w:rStyle w:val="VerbatimChar"/>
        </w:rPr>
        <w:t xml:space="preserve">Not Sharing       30      135         0.1818    0.1301   0.2482</w:t>
      </w:r>
      <w:r>
        <w:br/>
      </w:r>
      <w:r>
        <w:br/>
      </w:r>
      <w:r>
        <w:rPr>
          <w:rStyle w:val="VerbatimChar"/>
        </w:rPr>
        <w:t xml:space="preserve">                                   95% conf. interval</w:t>
      </w:r>
      <w:r>
        <w:br/>
      </w:r>
      <w:r>
        <w:rPr>
          <w:rStyle w:val="VerbatimChar"/>
        </w:rPr>
        <w:t xml:space="preserve">             Relative Risk: 1.4158    0.8910   2.2498</w:t>
      </w:r>
      <w:r>
        <w:br/>
      </w:r>
      <w:r>
        <w:rPr>
          <w:rStyle w:val="VerbatimChar"/>
        </w:rPr>
        <w:t xml:space="preserve">         Sample Odds Ratio: 1.5600    0.8594   2.8318</w:t>
      </w:r>
      <w:r>
        <w:br/>
      </w:r>
      <w:r>
        <w:rPr>
          <w:rStyle w:val="VerbatimChar"/>
        </w:rPr>
        <w:t xml:space="preserve">Conditional MLE Odds Ratio: 1.5572    0.8189   2.9511</w:t>
      </w:r>
      <w:r>
        <w:br/>
      </w:r>
      <w:r>
        <w:rPr>
          <w:rStyle w:val="VerbatimChar"/>
        </w:rPr>
        <w:t xml:space="preserve">    Probability difference: 0.0756   -0.0244   0.1819</w:t>
      </w:r>
      <w:r>
        <w:br/>
      </w:r>
      <w:r>
        <w:br/>
      </w:r>
      <w:r>
        <w:rPr>
          <w:rStyle w:val="VerbatimChar"/>
        </w:rPr>
        <w:t xml:space="preserve">             Exact P-value: 0.1638 </w:t>
      </w:r>
      <w:r>
        <w:br/>
      </w:r>
      <w:r>
        <w:rPr>
          <w:rStyle w:val="VerbatimChar"/>
        </w:rPr>
        <w:t xml:space="preserve">        Asymptotic P-value: 0.1438 </w:t>
      </w:r>
      <w:r>
        <w:br/>
      </w:r>
      <w:r>
        <w:rPr>
          <w:rStyle w:val="VerbatimChar"/>
        </w:rPr>
        <w:t xml:space="preserve">------------------------------------------------------</w:t>
      </w:r>
    </w:p>
    <w:bookmarkEnd w:id="25"/>
    <w:bookmarkStart w:id="26" w:name="change-to-90-confidence"/>
    <w:p>
      <w:pPr>
        <w:pStyle w:val="Heading2"/>
      </w:pPr>
      <w:r>
        <w:t xml:space="preserve">Change to 90% confidence?</w:t>
      </w:r>
    </w:p>
    <w:p>
      <w:pPr>
        <w:pStyle w:val="Compact"/>
        <w:numPr>
          <w:ilvl w:val="0"/>
          <w:numId w:val="1008"/>
        </w:numPr>
      </w:pPr>
      <w:r>
        <w:t xml:space="preserve">What if we use a 90% confidence level instead?</w:t>
      </w:r>
    </w:p>
    <w:p>
      <w:pPr>
        <w:pStyle w:val="SourceCode"/>
      </w:pPr>
      <w:r>
        <w:rPr>
          <w:rStyle w:val="VerbatimChar"/>
        </w:rPr>
        <w:t xml:space="preserve">2 by 2 table analysis: </w:t>
      </w:r>
      <w:r>
        <w:br/>
      </w:r>
      <w:r>
        <w:rPr>
          <w:rStyle w:val="VerbatimChar"/>
        </w:rPr>
        <w:t xml:space="preserve">------------------------------------------------------ </w:t>
      </w:r>
      <w:r>
        <w:br/>
      </w:r>
      <w:r>
        <w:rPr>
          <w:rStyle w:val="VerbatimChar"/>
        </w:rPr>
        <w:t xml:space="preserve">Outcome   : TB test+ </w:t>
      </w:r>
      <w:r>
        <w:br/>
      </w:r>
      <w:r>
        <w:rPr>
          <w:rStyle w:val="VerbatimChar"/>
        </w:rPr>
        <w:t xml:space="preserve">Comparing : Sharing vs. Not Sharing </w:t>
      </w:r>
      <w:r>
        <w:br/>
      </w:r>
      <w:r>
        <w:br/>
      </w:r>
      <w:r>
        <w:rPr>
          <w:rStyle w:val="VerbatimChar"/>
        </w:rPr>
        <w:t xml:space="preserve">            TB test+ TB test-    P(TB test+) 90% conf. interval</w:t>
      </w:r>
      <w:r>
        <w:br/>
      </w:r>
      <w:r>
        <w:rPr>
          <w:rStyle w:val="VerbatimChar"/>
        </w:rPr>
        <w:t xml:space="preserve">Sharing           26       75         0.2574    0.1925   0.3351</w:t>
      </w:r>
      <w:r>
        <w:br/>
      </w:r>
      <w:r>
        <w:rPr>
          <w:rStyle w:val="VerbatimChar"/>
        </w:rPr>
        <w:t xml:space="preserve">Not Sharing       30      135         0.1818    0.1375   0.2365</w:t>
      </w:r>
      <w:r>
        <w:br/>
      </w:r>
      <w:r>
        <w:br/>
      </w:r>
      <w:r>
        <w:rPr>
          <w:rStyle w:val="VerbatimChar"/>
        </w:rPr>
        <w:t xml:space="preserve">                                   90% conf. interval</w:t>
      </w:r>
      <w:r>
        <w:br/>
      </w:r>
      <w:r>
        <w:rPr>
          <w:rStyle w:val="VerbatimChar"/>
        </w:rPr>
        <w:t xml:space="preserve">             Relative Risk: 1.4158    0.9599   2.0884</w:t>
      </w:r>
      <w:r>
        <w:br/>
      </w:r>
      <w:r>
        <w:rPr>
          <w:rStyle w:val="VerbatimChar"/>
        </w:rPr>
        <w:t xml:space="preserve">         Sample Odds Ratio: 1.5600    0.9458   2.5729</w:t>
      </w:r>
      <w:r>
        <w:br/>
      </w:r>
      <w:r>
        <w:rPr>
          <w:rStyle w:val="VerbatimChar"/>
        </w:rPr>
        <w:t xml:space="preserve">Conditional MLE Odds Ratio: 1.5572    0.9023   2.6818</w:t>
      </w:r>
      <w:r>
        <w:br/>
      </w:r>
      <w:r>
        <w:rPr>
          <w:rStyle w:val="VerbatimChar"/>
        </w:rPr>
        <w:t xml:space="preserve">    Probability difference: 0.0756   -0.0088   0.1646</w:t>
      </w:r>
      <w:r>
        <w:br/>
      </w:r>
      <w:r>
        <w:br/>
      </w:r>
      <w:r>
        <w:rPr>
          <w:rStyle w:val="VerbatimChar"/>
        </w:rPr>
        <w:t xml:space="preserve">             Exact P-value: 0.1638 </w:t>
      </w:r>
      <w:r>
        <w:br/>
      </w:r>
      <w:r>
        <w:rPr>
          <w:rStyle w:val="VerbatimChar"/>
        </w:rPr>
        <w:t xml:space="preserve">        Asymptotic P-value: 0.1438 </w:t>
      </w:r>
      <w:r>
        <w:br/>
      </w:r>
      <w:r>
        <w:rPr>
          <w:rStyle w:val="VerbatimChar"/>
        </w:rPr>
        <w:t xml:space="preserve">------------------------------------------------------</w:t>
      </w:r>
    </w:p>
    <w:bookmarkEnd w:id="26"/>
    <w:bookmarkStart w:id="59" w:name="larger-contingency-tables"/>
    <w:p>
      <w:pPr>
        <w:pStyle w:val="Heading1"/>
      </w:pPr>
      <w:r>
        <w:t xml:space="preserve">Larger Contingency Tables</w:t>
      </w:r>
    </w:p>
    <w:bookmarkStart w:id="27" w:name="a-2-times-3-contingency-table"/>
    <w:p>
      <w:pPr>
        <w:pStyle w:val="Heading2"/>
      </w:pPr>
      <w:r>
        <w:t xml:space="preserve">A</w:t>
      </w:r>
      <w:r>
        <w:t xml:space="preserve"> </w:t>
      </w:r>
      <m:oMath>
        <m:r>
          <m:t>2</m:t>
        </m:r>
        <m:r>
          <m:rPr>
            <m:sty m:val="p"/>
          </m:rPr>
          <m:t>×</m:t>
        </m:r>
        <m:r>
          <m:t>3</m:t>
        </m:r>
      </m:oMath>
      <w:r>
        <w:t xml:space="preserve"> </w:t>
      </w:r>
      <w:r>
        <w:t xml:space="preserve">contingency table</w:t>
      </w:r>
    </w:p>
    <w:p>
      <w:pPr>
        <w:pStyle w:val="FirstParagraph"/>
      </w:pPr>
      <w:r>
        <w:t xml:space="preserve">This table displays the count of patients who show</w:t>
      </w:r>
      <w:r>
        <w:t xml:space="preserve"> </w:t>
      </w:r>
      <w:r>
        <w:rPr>
          <w:i/>
          <w:iCs/>
        </w:rPr>
        <w:t xml:space="preserve">complete</w:t>
      </w:r>
      <w:r>
        <w:t xml:space="preserve">,</w:t>
      </w:r>
      <w:r>
        <w:t xml:space="preserve"> </w:t>
      </w:r>
      <w:r>
        <w:rPr>
          <w:i/>
          <w:iCs/>
        </w:rPr>
        <w:t xml:space="preserve">partial</w:t>
      </w:r>
      <w:r>
        <w:t xml:space="preserve">, or</w:t>
      </w:r>
      <w:r>
        <w:t xml:space="preserve"> </w:t>
      </w:r>
      <w:r>
        <w:rPr>
          <w:i/>
          <w:iCs/>
        </w:rPr>
        <w:t xml:space="preserve">no response</w:t>
      </w:r>
      <w:r>
        <w:t xml:space="preserve"> </w:t>
      </w:r>
      <w:r>
        <w:t xml:space="preserve">after treatment with either</w:t>
      </w:r>
      <w:r>
        <w:t xml:space="preserve"> </w:t>
      </w:r>
      <w:r>
        <w:rPr>
          <w:b/>
          <w:bCs/>
        </w:rPr>
        <w:t xml:space="preserve">active</w:t>
      </w:r>
      <w:r>
        <w:t xml:space="preserve"> </w:t>
      </w:r>
      <w:r>
        <w:t xml:space="preserve">medication or a</w:t>
      </w:r>
      <w:r>
        <w:t xml:space="preserve"> </w:t>
      </w:r>
      <w:r>
        <w:rPr>
          <w:b/>
          <w:bCs/>
        </w:rPr>
        <w:t xml:space="preserve">placebo</w:t>
      </w:r>
      <w:r>
        <w:t xml:space="preserve"> </w:t>
      </w:r>
      <w:r>
        <w:t xml:space="preserve">in a study of 100 patients…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Group</w:t>
            </w:r>
          </w:p>
        </w:tc>
        <w:tc>
          <w:tcPr/>
          <w:p>
            <w:pPr>
              <w:pStyle w:val="Compact"/>
              <w:jc w:val="center"/>
            </w:pPr>
            <w:r>
              <w:t xml:space="preserve">None</w:t>
            </w:r>
          </w:p>
        </w:tc>
        <w:tc>
          <w:tcPr/>
          <w:p>
            <w:pPr>
              <w:pStyle w:val="Compact"/>
              <w:jc w:val="center"/>
            </w:pPr>
            <w:r>
              <w:t xml:space="preserve">Partial</w:t>
            </w:r>
          </w:p>
        </w:tc>
        <w:tc>
          <w:tcPr/>
          <w:p>
            <w:pPr>
              <w:pStyle w:val="Compact"/>
              <w:jc w:val="center"/>
            </w:pPr>
            <w:r>
              <w:t xml:space="preserve">Complete</w:t>
            </w:r>
          </w:p>
        </w:tc>
      </w:tr>
      <w:tr>
        <w:tc>
          <w:tcPr/>
          <w:p>
            <w:pPr>
              <w:pStyle w:val="Compact"/>
              <w:jc w:val="right"/>
            </w:pPr>
            <w:r>
              <w:t xml:space="preserve">Active</w:t>
            </w:r>
          </w:p>
        </w:tc>
        <w:tc>
          <w:tcPr/>
          <w:p>
            <w:pPr>
              <w:pStyle w:val="Compact"/>
              <w:jc w:val="center"/>
            </w:pPr>
            <w:r>
              <w:t xml:space="preserve">8</w:t>
            </w:r>
          </w:p>
        </w:tc>
        <w:tc>
          <w:tcPr/>
          <w:p>
            <w:pPr>
              <w:pStyle w:val="Compact"/>
              <w:jc w:val="center"/>
            </w:pPr>
            <w:r>
              <w:t xml:space="preserve">24</w:t>
            </w:r>
          </w:p>
        </w:tc>
        <w:tc>
          <w:tcPr/>
          <w:p>
            <w:pPr>
              <w:pStyle w:val="Compact"/>
              <w:jc w:val="center"/>
            </w:pPr>
            <w:r>
              <w:t xml:space="preserve">20</w:t>
            </w:r>
          </w:p>
        </w:tc>
      </w:tr>
      <w:tr>
        <w:tc>
          <w:tcPr/>
          <w:p>
            <w:pPr>
              <w:pStyle w:val="Compact"/>
              <w:jc w:val="right"/>
            </w:pPr>
            <w:r>
              <w:t xml:space="preserve">Placebo</w:t>
            </w:r>
          </w:p>
        </w:tc>
        <w:tc>
          <w:tcPr/>
          <w:p>
            <w:pPr>
              <w:pStyle w:val="Compact"/>
              <w:jc w:val="center"/>
            </w:pPr>
            <w:r>
              <w:t xml:space="preserve">12</w:t>
            </w:r>
          </w:p>
        </w:tc>
        <w:tc>
          <w:tcPr/>
          <w:p>
            <w:pPr>
              <w:pStyle w:val="Compact"/>
              <w:jc w:val="center"/>
            </w:pPr>
            <w:r>
              <w:t xml:space="preserve">26</w:t>
            </w:r>
          </w:p>
        </w:tc>
        <w:tc>
          <w:tcPr/>
          <w:p>
            <w:pPr>
              <w:pStyle w:val="Compact"/>
              <w:jc w:val="center"/>
            </w:pPr>
            <w:r>
              <w:t xml:space="preserve">10</w:t>
            </w:r>
          </w:p>
        </w:tc>
      </w:tr>
    </w:tbl>
    <w:p>
      <w:pPr>
        <w:pStyle w:val="BodyText"/>
      </w:pPr>
      <w:r>
        <w:t xml:space="preserve">Is there a meaningful association here?</w:t>
      </w:r>
    </w:p>
    <w:bookmarkEnd w:id="27"/>
    <w:bookmarkStart w:id="28" w:name="the-pearson-chi-square-test"/>
    <w:p>
      <w:pPr>
        <w:pStyle w:val="Heading2"/>
      </w:pPr>
      <w:r>
        <w:t xml:space="preserve">The Pearson Chi-Square Test</w:t>
      </w:r>
    </w:p>
    <w:p>
      <w:pPr>
        <w:pStyle w:val="Compact"/>
        <w:numPr>
          <w:ilvl w:val="0"/>
          <w:numId w:val="1009"/>
        </w:numPr>
      </w:pPr>
      <m:oMath>
        <m:sSub>
          <m:e>
            <m:r>
              <m:t>H</m:t>
            </m:r>
          </m:e>
          <m:sub>
            <m:r>
              <m:t>0</m:t>
            </m:r>
          </m:sub>
        </m:sSub>
      </m:oMath>
      <w:r>
        <w:t xml:space="preserve">: Response Distribution is the same, regardless of Treatment.</w:t>
      </w:r>
    </w:p>
    <w:p>
      <w:pPr>
        <w:pStyle w:val="Compact"/>
        <w:numPr>
          <w:ilvl w:val="0"/>
          <w:numId w:val="1009"/>
        </w:numPr>
      </w:pPr>
      <m:oMath>
        <m:sSub>
          <m:e>
            <m:r>
              <m:t>H</m:t>
            </m:r>
          </m:e>
          <m:sub>
            <m:r>
              <m:t>A</m:t>
            </m:r>
          </m:sub>
        </m:sSub>
      </m:oMath>
      <w:r>
        <w:t xml:space="preserve">: There is an association between Treatment and Response.</w:t>
      </w:r>
    </w:p>
    <w:p>
      <w:pPr>
        <w:pStyle w:val="FirstParagraph"/>
      </w:pPr>
      <w:r>
        <w:t xml:space="preserve">The Pearson</w:t>
      </w:r>
      <w:r>
        <w:t xml:space="preserve"> </w:t>
      </w:r>
      <m:oMath>
        <m:sSup>
          <m:e>
            <m:r>
              <m:t>χ</m:t>
            </m:r>
          </m:e>
          <m:sup>
            <m:r>
              <m:t>2</m:t>
            </m:r>
          </m:sup>
        </m:sSup>
      </m:oMath>
      <w:r>
        <w:t xml:space="preserve"> </w:t>
      </w:r>
      <w:r>
        <w:t xml:space="preserve">test assumes the null hypothesis is true (rows and columns are independent.) That is a model for our data. How does it work?</w:t>
      </w:r>
    </w:p>
    <w:bookmarkEnd w:id="28"/>
    <w:bookmarkStart w:id="29" w:name="calculating-chi-square"/>
    <w:p>
      <w:pPr>
        <w:pStyle w:val="Heading2"/>
      </w:pPr>
      <w:r>
        <w:t xml:space="preserve">Calculating Chi-Square</w:t>
      </w:r>
    </w:p>
    <w:p>
      <w:pPr>
        <w:pStyle w:val="FirstParagraph"/>
      </w:pPr>
      <w:r>
        <w:t xml:space="preserve">Here’s the table, with marginal totals added.</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w:t>
            </w:r>
          </w:p>
        </w:tc>
        <w:tc>
          <w:tcPr/>
          <w:p>
            <w:pPr>
              <w:pStyle w:val="Compact"/>
              <w:jc w:val="right"/>
            </w:pPr>
            <w:r>
              <w:t xml:space="preserve">None</w:t>
            </w:r>
          </w:p>
        </w:tc>
        <w:tc>
          <w:tcPr/>
          <w:p>
            <w:pPr>
              <w:pStyle w:val="Compact"/>
              <w:jc w:val="right"/>
            </w:pPr>
            <w:r>
              <w:t xml:space="preserve">Partial</w:t>
            </w:r>
          </w:p>
        </w:tc>
        <w:tc>
          <w:tcPr/>
          <w:p>
            <w:pPr>
              <w:pStyle w:val="Compact"/>
              <w:jc w:val="right"/>
            </w:pPr>
            <w:r>
              <w:t xml:space="preserve">Complete</w:t>
            </w:r>
          </w:p>
        </w:tc>
        <w:tc>
          <w:tcPr/>
          <w:p>
            <w:pPr>
              <w:pStyle w:val="Compact"/>
              <w:jc w:val="right"/>
            </w:pPr>
            <w:r>
              <w:rPr>
                <w:b/>
                <w:bCs/>
              </w:rPr>
              <w:t xml:space="preserve">TOTAL</w:t>
            </w:r>
          </w:p>
        </w:tc>
      </w:tr>
      <w:tr>
        <w:tc>
          <w:tcPr/>
          <w:p>
            <w:pPr>
              <w:pStyle w:val="Compact"/>
              <w:jc w:val="left"/>
            </w:pPr>
            <w:r>
              <w:t xml:space="preserve">Active</w:t>
            </w:r>
          </w:p>
        </w:tc>
        <w:tc>
          <w:tcPr/>
          <w:p>
            <w:pPr>
              <w:pStyle w:val="Compact"/>
              <w:jc w:val="right"/>
            </w:pPr>
            <w:r>
              <w:t xml:space="preserve">8</w:t>
            </w:r>
          </w:p>
        </w:tc>
        <w:tc>
          <w:tcPr/>
          <w:p>
            <w:pPr>
              <w:pStyle w:val="Compact"/>
              <w:jc w:val="right"/>
            </w:pPr>
            <w:r>
              <w:t xml:space="preserve">24</w:t>
            </w:r>
          </w:p>
        </w:tc>
        <w:tc>
          <w:tcPr/>
          <w:p>
            <w:pPr>
              <w:pStyle w:val="Compact"/>
              <w:jc w:val="right"/>
            </w:pPr>
            <w:r>
              <w:t xml:space="preserve">20</w:t>
            </w:r>
          </w:p>
        </w:tc>
        <w:tc>
          <w:tcPr/>
          <w:p>
            <w:pPr>
              <w:pStyle w:val="Compact"/>
              <w:jc w:val="right"/>
            </w:pPr>
            <w:r>
              <w:rPr>
                <w:b/>
                <w:bCs/>
              </w:rPr>
              <w:t xml:space="preserve">52</w:t>
            </w:r>
          </w:p>
        </w:tc>
      </w:tr>
      <w:tr>
        <w:tc>
          <w:tcPr/>
          <w:p>
            <w:pPr>
              <w:pStyle w:val="Compact"/>
              <w:jc w:val="left"/>
            </w:pPr>
            <w:r>
              <w:t xml:space="preserve">Placebo</w:t>
            </w:r>
          </w:p>
        </w:tc>
        <w:tc>
          <w:tcPr/>
          <w:p>
            <w:pPr>
              <w:pStyle w:val="Compact"/>
              <w:jc w:val="right"/>
            </w:pPr>
            <w:r>
              <w:t xml:space="preserve">12</w:t>
            </w:r>
          </w:p>
        </w:tc>
        <w:tc>
          <w:tcPr/>
          <w:p>
            <w:pPr>
              <w:pStyle w:val="Compact"/>
              <w:jc w:val="right"/>
            </w:pPr>
            <w:r>
              <w:t xml:space="preserve">26</w:t>
            </w:r>
          </w:p>
        </w:tc>
        <w:tc>
          <w:tcPr/>
          <w:p>
            <w:pPr>
              <w:pStyle w:val="Compact"/>
              <w:jc w:val="right"/>
            </w:pPr>
            <w:r>
              <w:t xml:space="preserve">10</w:t>
            </w:r>
          </w:p>
        </w:tc>
        <w:tc>
          <w:tcPr/>
          <w:p>
            <w:pPr>
              <w:pStyle w:val="Compact"/>
              <w:jc w:val="right"/>
            </w:pPr>
            <w:r>
              <w:rPr>
                <w:b/>
                <w:bCs/>
              </w:rPr>
              <w:t xml:space="preserve">48</w:t>
            </w:r>
          </w:p>
        </w:tc>
      </w:tr>
      <w:tr>
        <w:tc>
          <w:tcPr/>
          <w:p>
            <w:pPr>
              <w:pStyle w:val="Compact"/>
              <w:jc w:val="left"/>
            </w:pPr>
            <w:r>
              <w:rPr>
                <w:b/>
                <w:bCs/>
              </w:rPr>
              <w:t xml:space="preserve">TOTAL</w:t>
            </w:r>
          </w:p>
        </w:tc>
        <w:tc>
          <w:tcPr/>
          <w:p>
            <w:pPr>
              <w:pStyle w:val="Compact"/>
              <w:jc w:val="right"/>
            </w:pPr>
            <w:r>
              <w:rPr>
                <w:b/>
                <w:bCs/>
              </w:rPr>
              <w:t xml:space="preserve">20</w:t>
            </w:r>
          </w:p>
        </w:tc>
        <w:tc>
          <w:tcPr/>
          <w:p>
            <w:pPr>
              <w:pStyle w:val="Compact"/>
              <w:jc w:val="right"/>
            </w:pPr>
            <w:r>
              <w:rPr>
                <w:b/>
                <w:bCs/>
              </w:rPr>
              <w:t xml:space="preserve">50</w:t>
            </w:r>
          </w:p>
        </w:tc>
        <w:tc>
          <w:tcPr/>
          <w:p>
            <w:pPr>
              <w:pStyle w:val="Compact"/>
              <w:jc w:val="right"/>
            </w:pPr>
            <w:r>
              <w:rPr>
                <w:b/>
                <w:bCs/>
              </w:rPr>
              <w:t xml:space="preserve">30</w:t>
            </w:r>
          </w:p>
        </w:tc>
        <w:tc>
          <w:tcPr/>
          <w:p>
            <w:pPr>
              <w:pStyle w:val="Compact"/>
              <w:jc w:val="right"/>
            </w:pPr>
            <w:r>
              <w:rPr>
                <w:b/>
                <w:bCs/>
              </w:rPr>
              <w:t xml:space="preserve">100</w:t>
            </w:r>
          </w:p>
        </w:tc>
      </w:tr>
    </w:tbl>
    <w:p>
      <w:pPr>
        <w:pStyle w:val="BodyText"/>
      </w:pPr>
      <w:r>
        <w:t xml:space="preserve">The test needs to estimate the expected frequency in each of the six cells under the assumption of independence. If the rows and columns were independent, what is the expected count in the Active/None cell?</w:t>
      </w:r>
    </w:p>
    <w:bookmarkEnd w:id="29"/>
    <w:bookmarkStart w:id="30" w:name="the-independence-model"/>
    <w:p>
      <w:pPr>
        <w:pStyle w:val="Heading2"/>
      </w:pPr>
      <w:r>
        <w:t xml:space="preserve">The Independence Model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w:t>
            </w:r>
          </w:p>
        </w:tc>
        <w:tc>
          <w:tcPr/>
          <w:p>
            <w:pPr>
              <w:pStyle w:val="Compact"/>
              <w:jc w:val="right"/>
            </w:pPr>
            <w:r>
              <w:t xml:space="preserve">None</w:t>
            </w:r>
          </w:p>
        </w:tc>
        <w:tc>
          <w:tcPr/>
          <w:p>
            <w:pPr>
              <w:pStyle w:val="Compact"/>
              <w:jc w:val="right"/>
            </w:pPr>
            <w:r>
              <w:t xml:space="preserve">Partial</w:t>
            </w:r>
          </w:p>
        </w:tc>
        <w:tc>
          <w:tcPr/>
          <w:p>
            <w:pPr>
              <w:pStyle w:val="Compact"/>
              <w:jc w:val="right"/>
            </w:pPr>
            <w:r>
              <w:t xml:space="preserve">Complete</w:t>
            </w:r>
          </w:p>
        </w:tc>
        <w:tc>
          <w:tcPr/>
          <w:p>
            <w:pPr>
              <w:pStyle w:val="Compact"/>
              <w:jc w:val="right"/>
            </w:pPr>
            <w:r>
              <w:rPr>
                <w:b/>
                <w:bCs/>
              </w:rPr>
              <w:t xml:space="preserve">TOTAL</w:t>
            </w:r>
          </w:p>
        </w:tc>
      </w:tr>
      <w:tr>
        <w:tc>
          <w:tcPr/>
          <w:p>
            <w:pPr>
              <w:pStyle w:val="Compact"/>
              <w:jc w:val="right"/>
            </w:pPr>
            <w:r>
              <w:t xml:space="preserve">Active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rPr>
                <w:b/>
                <w:bCs/>
              </w:rPr>
              <w:t xml:space="preserve">52</w:t>
            </w:r>
          </w:p>
        </w:tc>
      </w:tr>
      <w:tr>
        <w:tc>
          <w:tcPr/>
          <w:p>
            <w:pPr>
              <w:pStyle w:val="Compact"/>
              <w:jc w:val="right"/>
            </w:pPr>
            <w:r>
              <w:t xml:space="preserve">Placebo</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rPr>
                <w:b/>
                <w:bCs/>
              </w:rPr>
              <w:t xml:space="preserve">48</w:t>
            </w:r>
          </w:p>
        </w:tc>
      </w:tr>
      <w:tr>
        <w:tc>
          <w:tcPr/>
          <w:p>
            <w:pPr>
              <w:pStyle w:val="Compact"/>
              <w:jc w:val="right"/>
            </w:pPr>
            <w:r>
              <w:rPr>
                <w:b/>
                <w:bCs/>
              </w:rPr>
              <w:t xml:space="preserve">TOTAL</w:t>
            </w:r>
          </w:p>
        </w:tc>
        <w:tc>
          <w:tcPr/>
          <w:p>
            <w:pPr>
              <w:pStyle w:val="Compact"/>
              <w:jc w:val="right"/>
            </w:pPr>
            <w:r>
              <w:rPr>
                <w:b/>
                <w:bCs/>
              </w:rPr>
              <w:t xml:space="preserve">20</w:t>
            </w:r>
          </w:p>
        </w:tc>
        <w:tc>
          <w:tcPr/>
          <w:p>
            <w:pPr>
              <w:pStyle w:val="Compact"/>
              <w:jc w:val="right"/>
            </w:pPr>
            <w:r>
              <w:rPr>
                <w:b/>
                <w:bCs/>
              </w:rPr>
              <w:t xml:space="preserve">50</w:t>
            </w:r>
          </w:p>
        </w:tc>
        <w:tc>
          <w:tcPr/>
          <w:p>
            <w:pPr>
              <w:pStyle w:val="Compact"/>
              <w:jc w:val="right"/>
            </w:pPr>
            <w:r>
              <w:rPr>
                <w:b/>
                <w:bCs/>
              </w:rPr>
              <w:t xml:space="preserve">30</w:t>
            </w:r>
          </w:p>
        </w:tc>
        <w:tc>
          <w:tcPr/>
          <w:p>
            <w:pPr>
              <w:pStyle w:val="Compact"/>
              <w:jc w:val="right"/>
            </w:pPr>
            <w:r>
              <w:rPr>
                <w:b/>
                <w:bCs/>
              </w:rPr>
              <w:t xml:space="preserve">100</w:t>
            </w:r>
          </w:p>
        </w:tc>
      </w:tr>
    </w:tbl>
    <w:p>
      <w:pPr>
        <w:pStyle w:val="BodyText"/>
      </w:pPr>
      <w:r>
        <w:t xml:space="preserve">If the rows and columns were independent, then:</w:t>
      </w:r>
    </w:p>
    <w:p>
      <w:pPr>
        <w:pStyle w:val="Compact"/>
        <w:numPr>
          <w:ilvl w:val="0"/>
          <w:numId w:val="1010"/>
        </w:numPr>
      </w:pPr>
      <w:r>
        <w:t xml:space="preserve">20/100 of subjects would have response =</w:t>
      </w:r>
      <w:r>
        <w:t xml:space="preserve"> </w:t>
      </w:r>
      <w:r>
        <w:t xml:space="preserve">“</w:t>
      </w:r>
      <w:r>
        <w:t xml:space="preserve">None</w:t>
      </w:r>
      <w:r>
        <w:t xml:space="preserve">”</w:t>
      </w:r>
    </w:p>
    <w:p>
      <w:pPr>
        <w:pStyle w:val="Compact"/>
        <w:numPr>
          <w:ilvl w:val="1"/>
          <w:numId w:val="1011"/>
        </w:numPr>
      </w:pPr>
      <w:r>
        <w:t xml:space="preserve">That’s 20% of the 52 Active, and 20% of the 48 Placebo</w:t>
      </w:r>
    </w:p>
    <w:p>
      <w:pPr>
        <w:pStyle w:val="Compact"/>
        <w:numPr>
          <w:ilvl w:val="0"/>
          <w:numId w:val="1010"/>
        </w:numPr>
      </w:pPr>
      <w:r>
        <w:t xml:space="preserve">50% would have a</w:t>
      </w:r>
      <w:r>
        <w:t xml:space="preserve"> </w:t>
      </w:r>
      <w:r>
        <w:t xml:space="preserve">“</w:t>
      </w:r>
      <w:r>
        <w:t xml:space="preserve">Partial</w:t>
      </w:r>
      <w:r>
        <w:t xml:space="preserve">”</w:t>
      </w:r>
      <w:r>
        <w:t xml:space="preserve"> </w:t>
      </w:r>
      <w:r>
        <w:t xml:space="preserve">response, and</w:t>
      </w:r>
    </w:p>
    <w:p>
      <w:pPr>
        <w:pStyle w:val="Compact"/>
        <w:numPr>
          <w:ilvl w:val="0"/>
          <w:numId w:val="1010"/>
        </w:numPr>
      </w:pPr>
      <w:r>
        <w:t xml:space="preserve">30% would have a</w:t>
      </w:r>
      <w:r>
        <w:t xml:space="preserve"> </w:t>
      </w:r>
      <w:r>
        <w:t xml:space="preserve">“</w:t>
      </w:r>
      <w:r>
        <w:t xml:space="preserve">Complete</w:t>
      </w:r>
      <w:r>
        <w:t xml:space="preserve">”</w:t>
      </w:r>
      <w:r>
        <w:t xml:space="preserve"> </w:t>
      </w:r>
      <w:r>
        <w:t xml:space="preserve">response in each group.</w:t>
      </w:r>
    </w:p>
    <w:bookmarkEnd w:id="30"/>
    <w:bookmarkStart w:id="31" w:name="observed-expected-cell-counts"/>
    <w:p>
      <w:pPr>
        <w:pStyle w:val="Heading2"/>
      </w:pPr>
      <w:r>
        <w:t xml:space="preserve">Observed (</w:t>
      </w:r>
      <w:r>
        <w:rPr>
          <w:i/>
          <w:iCs/>
        </w:rPr>
        <w:t xml:space="preserve">Expected</w:t>
      </w:r>
      <w:r>
        <w:t xml:space="preserve">) Cell Counts</w:t>
      </w:r>
    </w:p>
    <w:p>
      <w:pPr>
        <w:pStyle w:val="FirstParagraph"/>
      </w:pPr>
      <w:r>
        <w:t xml:space="preserve">So, can we fill in the expected frequencies under our independence model?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w:t>
            </w:r>
          </w:p>
        </w:tc>
        <w:tc>
          <w:tcPr/>
          <w:p>
            <w:pPr>
              <w:pStyle w:val="Compact"/>
              <w:jc w:val="center"/>
            </w:pPr>
            <w:r>
              <w:t xml:space="preserve">None</w:t>
            </w:r>
          </w:p>
        </w:tc>
        <w:tc>
          <w:tcPr/>
          <w:p>
            <w:pPr>
              <w:pStyle w:val="Compact"/>
              <w:jc w:val="center"/>
            </w:pPr>
            <w:r>
              <w:t xml:space="preserve">Partial</w:t>
            </w:r>
          </w:p>
        </w:tc>
        <w:tc>
          <w:tcPr/>
          <w:p>
            <w:pPr>
              <w:pStyle w:val="Compact"/>
              <w:jc w:val="center"/>
            </w:pPr>
            <w:r>
              <w:t xml:space="preserve">Complete</w:t>
            </w:r>
          </w:p>
        </w:tc>
        <w:tc>
          <w:tcPr/>
          <w:p>
            <w:pPr>
              <w:pStyle w:val="Compact"/>
              <w:jc w:val="right"/>
            </w:pPr>
            <w:r>
              <w:rPr>
                <w:b/>
                <w:bCs/>
              </w:rPr>
              <w:t xml:space="preserve">TOTAL</w:t>
            </w:r>
          </w:p>
        </w:tc>
      </w:tr>
      <w:tr>
        <w:tc>
          <w:tcPr/>
          <w:p>
            <w:pPr>
              <w:pStyle w:val="Compact"/>
              <w:jc w:val="left"/>
            </w:pPr>
            <w:r>
              <w:t xml:space="preserve">Active</w:t>
            </w:r>
          </w:p>
        </w:tc>
        <w:tc>
          <w:tcPr/>
          <w:p>
            <w:pPr>
              <w:pStyle w:val="Compact"/>
              <w:jc w:val="center"/>
            </w:pPr>
            <w:r>
              <w:t xml:space="preserve">8 (</w:t>
            </w:r>
            <w:r>
              <w:rPr>
                <w:i/>
                <w:iCs/>
              </w:rPr>
              <w:t xml:space="preserve">10.4</w:t>
            </w:r>
            <w:r>
              <w:t xml:space="preserve">)</w:t>
            </w:r>
          </w:p>
        </w:tc>
        <w:tc>
          <w:tcPr/>
          <w:p>
            <w:pPr>
              <w:pStyle w:val="Compact"/>
              <w:jc w:val="center"/>
            </w:pPr>
            <w:r>
              <w:t xml:space="preserve">24 (</w:t>
            </w:r>
            <w:r>
              <w:rPr>
                <w:i/>
                <w:iCs/>
              </w:rPr>
              <w:t xml:space="preserve">26.0</w:t>
            </w:r>
            <w:r>
              <w:t xml:space="preserve">)</w:t>
            </w:r>
          </w:p>
        </w:tc>
        <w:tc>
          <w:tcPr/>
          <w:p>
            <w:pPr>
              <w:pStyle w:val="Compact"/>
              <w:jc w:val="center"/>
            </w:pPr>
            <w:r>
              <w:t xml:space="preserve">20 (</w:t>
            </w:r>
            <w:r>
              <w:rPr>
                <w:i/>
                <w:iCs/>
              </w:rPr>
              <w:t xml:space="preserve">15.6</w:t>
            </w:r>
            <w:r>
              <w:t xml:space="preserve">)</w:t>
            </w:r>
          </w:p>
        </w:tc>
        <w:tc>
          <w:tcPr/>
          <w:p>
            <w:pPr>
              <w:pStyle w:val="Compact"/>
              <w:jc w:val="right"/>
            </w:pPr>
            <w:r>
              <w:rPr>
                <w:b/>
                <w:bCs/>
              </w:rPr>
              <w:t xml:space="preserve">52</w:t>
            </w:r>
          </w:p>
        </w:tc>
      </w:tr>
      <w:tr>
        <w:tc>
          <w:tcPr/>
          <w:p>
            <w:pPr>
              <w:pStyle w:val="Compact"/>
              <w:jc w:val="left"/>
            </w:pPr>
            <w:r>
              <w:t xml:space="preserve">Placebo</w:t>
            </w:r>
          </w:p>
        </w:tc>
        <w:tc>
          <w:tcPr/>
          <w:p>
            <w:pPr>
              <w:pStyle w:val="Compact"/>
              <w:jc w:val="center"/>
            </w:pPr>
            <w:r>
              <w:t xml:space="preserve">12 (</w:t>
            </w:r>
            <w:r>
              <w:rPr>
                <w:i/>
                <w:iCs/>
              </w:rPr>
              <w:t xml:space="preserve">9.6</w:t>
            </w:r>
            <w:r>
              <w:t xml:space="preserve">)</w:t>
            </w:r>
          </w:p>
        </w:tc>
        <w:tc>
          <w:tcPr/>
          <w:p>
            <w:pPr>
              <w:pStyle w:val="Compact"/>
              <w:jc w:val="center"/>
            </w:pPr>
            <w:r>
              <w:t xml:space="preserve">26 (</w:t>
            </w:r>
            <w:r>
              <w:rPr>
                <w:i/>
                <w:iCs/>
              </w:rPr>
              <w:t xml:space="preserve">24.0</w:t>
            </w:r>
            <w:r>
              <w:t xml:space="preserve">)</w:t>
            </w:r>
          </w:p>
        </w:tc>
        <w:tc>
          <w:tcPr/>
          <w:p>
            <w:pPr>
              <w:pStyle w:val="Compact"/>
              <w:jc w:val="center"/>
            </w:pPr>
            <w:r>
              <w:t xml:space="preserve">10 (</w:t>
            </w:r>
            <w:r>
              <w:rPr>
                <w:i/>
                <w:iCs/>
              </w:rPr>
              <w:t xml:space="preserve">14.4</w:t>
            </w:r>
            <w:r>
              <w:t xml:space="preserve">)</w:t>
            </w:r>
          </w:p>
        </w:tc>
        <w:tc>
          <w:tcPr/>
          <w:p>
            <w:pPr>
              <w:pStyle w:val="Compact"/>
              <w:jc w:val="right"/>
            </w:pPr>
            <w:r>
              <w:rPr>
                <w:b/>
                <w:bCs/>
              </w:rPr>
              <w:t xml:space="preserve">48</w:t>
            </w:r>
          </w:p>
        </w:tc>
      </w:tr>
      <w:tr>
        <w:tc>
          <w:tcPr/>
          <w:p>
            <w:pPr>
              <w:pStyle w:val="Compact"/>
              <w:jc w:val="left"/>
            </w:pPr>
            <w:r>
              <w:rPr>
                <w:b/>
                <w:bCs/>
              </w:rPr>
              <w:t xml:space="preserve">TOTAL</w:t>
            </w:r>
          </w:p>
        </w:tc>
        <w:tc>
          <w:tcPr/>
          <w:p>
            <w:pPr>
              <w:pStyle w:val="Compact"/>
              <w:jc w:val="center"/>
            </w:pPr>
            <w:r>
              <w:rPr>
                <w:b/>
                <w:bCs/>
              </w:rPr>
              <w:t xml:space="preserve">20</w:t>
            </w:r>
          </w:p>
        </w:tc>
        <w:tc>
          <w:tcPr/>
          <w:p>
            <w:pPr>
              <w:pStyle w:val="Compact"/>
              <w:jc w:val="center"/>
            </w:pPr>
            <w:r>
              <w:rPr>
                <w:b/>
                <w:bCs/>
              </w:rPr>
              <w:t xml:space="preserve">50</w:t>
            </w:r>
          </w:p>
        </w:tc>
        <w:tc>
          <w:tcPr/>
          <w:p>
            <w:pPr>
              <w:pStyle w:val="Compact"/>
              <w:jc w:val="center"/>
            </w:pPr>
            <w:r>
              <w:rPr>
                <w:b/>
                <w:bCs/>
              </w:rPr>
              <w:t xml:space="preserve">30</w:t>
            </w:r>
          </w:p>
        </w:tc>
        <w:tc>
          <w:tcPr/>
          <w:p>
            <w:pPr>
              <w:pStyle w:val="Compact"/>
              <w:jc w:val="right"/>
            </w:pPr>
            <w:r>
              <w:rPr>
                <w:b/>
                <w:bCs/>
              </w:rPr>
              <w:t xml:space="preserve">100</w:t>
            </w:r>
          </w:p>
        </w:tc>
      </w:tr>
    </w:tbl>
    <w:bookmarkEnd w:id="31"/>
    <w:bookmarkStart w:id="32" w:name="X34ab5b9805ea4e76e4ebc1a2a2ed6b676103c30"/>
    <w:p>
      <w:pPr>
        <w:pStyle w:val="Heading2"/>
      </w:pPr>
      <w:r>
        <w:t xml:space="preserve">General Formula for Expected Frequencies under Independence</w:t>
      </w:r>
    </w:p>
    <w:p>
      <w:pPr>
        <w:pStyle w:val="FirstParagraph"/>
      </w:pPr>
      <m:oMathPara>
        <m:oMathParaPr>
          <m:jc m:val="center"/>
        </m:oMathParaPr>
        <m:oMath>
          <m:r>
            <m:rPr>
              <m:nor/>
              <m:sty m:val="p"/>
            </m:rPr>
            <m:t>Expected Frequency</m:t>
          </m:r>
          <m:r>
            <m:rPr>
              <m:sty m:val="p"/>
            </m:rPr>
            <m:t>=</m:t>
          </m:r>
          <m:f>
            <m:fPr>
              <m:type m:val="bar"/>
            </m:fPr>
            <m:num>
              <m:r>
                <m:rPr>
                  <m:nor/>
                  <m:sty m:val="p"/>
                </m:rPr>
                <m:t>Row total</m:t>
              </m:r>
              <m:r>
                <m:rPr>
                  <m:sty m:val="p"/>
                </m:rPr>
                <m:t>×</m:t>
              </m:r>
              <m:r>
                <m:rPr>
                  <m:nor/>
                  <m:sty m:val="p"/>
                </m:rPr>
                <m:t>Column total</m:t>
              </m:r>
            </m:num>
            <m:den>
              <m:r>
                <m:rPr>
                  <m:nor/>
                  <m:sty m:val="p"/>
                </m:rPr>
                <m:t>Grand Total</m:t>
              </m:r>
            </m:den>
          </m:f>
        </m:oMath>
      </m:oMathPara>
    </w:p>
    <w:p>
      <w:pPr>
        <w:pStyle w:val="FirstParagraph"/>
      </w:pPr>
      <w:r>
        <w:t xml:space="preserve">This assumes that the independence model holds: the probability of being in a particular column is exactly the same in each row, and vice versa.</w:t>
      </w:r>
    </w:p>
    <w:bookmarkEnd w:id="32"/>
    <w:bookmarkStart w:id="33" w:name="chi-square-assumptions"/>
    <w:p>
      <w:pPr>
        <w:pStyle w:val="Heading2"/>
      </w:pPr>
      <w:r>
        <w:t xml:space="preserve">Chi-Square Assumptions</w:t>
      </w:r>
    </w:p>
    <w:p>
      <w:pPr>
        <w:pStyle w:val="Compact"/>
        <w:numPr>
          <w:ilvl w:val="0"/>
          <w:numId w:val="1012"/>
        </w:numPr>
      </w:pPr>
      <w:r>
        <w:t xml:space="preserve">Expected Frequencies: We assume that the expected frequency, under the null hypothesized model of independence, will be</w:t>
      </w:r>
      <w:r>
        <w:t xml:space="preserve"> </w:t>
      </w:r>
      <w:r>
        <w:rPr>
          <w:b/>
          <w:bCs/>
        </w:rPr>
        <w:t xml:space="preserve">at least 5</w:t>
      </w:r>
      <w:r>
        <w:t xml:space="preserve"> </w:t>
      </w:r>
      <w:r>
        <w:t xml:space="preserve">(and ideally at least 10) in each cell. If that is not the case, then the</w:t>
      </w:r>
      <w:r>
        <w:t xml:space="preserve"> </w:t>
      </w:r>
      <m:oMath>
        <m:sSup>
          <m:e>
            <m:r>
              <m:t>χ</m:t>
            </m:r>
          </m:e>
          <m:sup>
            <m:r>
              <m:t>2</m:t>
            </m:r>
          </m:sup>
        </m:sSup>
      </m:oMath>
      <w:r>
        <w:t xml:space="preserve"> </w:t>
      </w:r>
      <w:r>
        <w:t xml:space="preserve">test is likely to give unreliable results.</w:t>
      </w:r>
    </w:p>
    <w:p>
      <w:pPr>
        <w:pStyle w:val="Compact"/>
        <w:numPr>
          <w:ilvl w:val="0"/>
          <w:numId w:val="1012"/>
        </w:numPr>
      </w:pPr>
      <w:r>
        <w:t xml:space="preserve">The</w:t>
      </w:r>
      <w:r>
        <w:t xml:space="preserve"> </w:t>
      </w:r>
      <w:r>
        <w:rPr>
          <w:i/>
          <w:iCs/>
        </w:rPr>
        <w:t xml:space="preserve">Cochran conditions</w:t>
      </w:r>
      <w:r>
        <w:t xml:space="preserve"> </w:t>
      </w:r>
      <w:r>
        <w:t xml:space="preserve">require us to have no cells with zero counts</w:t>
      </w:r>
      <w:r>
        <w:t xml:space="preserve"> </w:t>
      </w:r>
      <w:r>
        <w:rPr>
          <w:b/>
          <w:bCs/>
        </w:rPr>
        <w:t xml:space="preserve">and</w:t>
      </w:r>
      <w:r>
        <w:t xml:space="preserve"> </w:t>
      </w:r>
      <w:r>
        <w:t xml:space="preserve">at least 80% of the cells in our table with expected counts of 5 or higher. That’s what R uses to warn you of trouble.</w:t>
      </w:r>
    </w:p>
    <w:p>
      <w:pPr>
        <w:pStyle w:val="Compact"/>
        <w:numPr>
          <w:ilvl w:val="0"/>
          <w:numId w:val="1012"/>
        </w:numPr>
      </w:pPr>
      <w:r>
        <w:t xml:space="preserve">Don’t meet the standards? Consider collapsing categories.</w:t>
      </w:r>
    </w:p>
    <w:bookmarkEnd w:id="33"/>
    <w:bookmarkStart w:id="34" w:name="observed-expected-cell-counts-again"/>
    <w:p>
      <w:pPr>
        <w:pStyle w:val="Heading2"/>
      </w:pPr>
      <w:r>
        <w:t xml:space="preserve">Observed (</w:t>
      </w:r>
      <w:r>
        <w:rPr>
          <w:b/>
          <w:bCs/>
        </w:rPr>
        <w:t xml:space="preserve">Expected</w:t>
      </w:r>
      <w:r>
        <w:t xml:space="preserve">) Cell Counts (again)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w:t>
            </w:r>
          </w:p>
        </w:tc>
        <w:tc>
          <w:tcPr/>
          <w:p>
            <w:pPr>
              <w:pStyle w:val="Compact"/>
              <w:jc w:val="center"/>
            </w:pPr>
            <w:r>
              <w:t xml:space="preserve">None</w:t>
            </w:r>
          </w:p>
        </w:tc>
        <w:tc>
          <w:tcPr/>
          <w:p>
            <w:pPr>
              <w:pStyle w:val="Compact"/>
              <w:jc w:val="center"/>
            </w:pPr>
            <w:r>
              <w:t xml:space="preserve">Partial</w:t>
            </w:r>
          </w:p>
        </w:tc>
        <w:tc>
          <w:tcPr/>
          <w:p>
            <w:pPr>
              <w:pStyle w:val="Compact"/>
              <w:jc w:val="center"/>
            </w:pPr>
            <w:r>
              <w:t xml:space="preserve">Complete</w:t>
            </w:r>
          </w:p>
        </w:tc>
        <w:tc>
          <w:tcPr/>
          <w:p>
            <w:pPr>
              <w:pStyle w:val="Compact"/>
              <w:jc w:val="right"/>
            </w:pPr>
            <w:r>
              <w:rPr>
                <w:b/>
                <w:bCs/>
              </w:rPr>
              <w:t xml:space="preserve">TOTAL</w:t>
            </w:r>
          </w:p>
        </w:tc>
      </w:tr>
      <w:tr>
        <w:tc>
          <w:tcPr/>
          <w:p>
            <w:pPr>
              <w:pStyle w:val="Compact"/>
              <w:jc w:val="left"/>
            </w:pPr>
            <w:r>
              <w:t xml:space="preserve">Active</w:t>
            </w:r>
          </w:p>
        </w:tc>
        <w:tc>
          <w:tcPr/>
          <w:p>
            <w:pPr>
              <w:pStyle w:val="Compact"/>
              <w:jc w:val="center"/>
            </w:pPr>
            <w:r>
              <w:t xml:space="preserve">8 (</w:t>
            </w:r>
            <w:r>
              <w:rPr>
                <w:b/>
                <w:bCs/>
              </w:rPr>
              <w:t xml:space="preserve">10.4</w:t>
            </w:r>
            <w:r>
              <w:t xml:space="preserve">)</w:t>
            </w:r>
          </w:p>
        </w:tc>
        <w:tc>
          <w:tcPr/>
          <w:p>
            <w:pPr>
              <w:pStyle w:val="Compact"/>
              <w:jc w:val="center"/>
            </w:pPr>
            <w:r>
              <w:t xml:space="preserve">24 (</w:t>
            </w:r>
            <w:r>
              <w:rPr>
                <w:b/>
                <w:bCs/>
              </w:rPr>
              <w:t xml:space="preserve">26.0</w:t>
            </w:r>
            <w:r>
              <w:t xml:space="preserve">)</w:t>
            </w:r>
          </w:p>
        </w:tc>
        <w:tc>
          <w:tcPr/>
          <w:p>
            <w:pPr>
              <w:pStyle w:val="Compact"/>
              <w:jc w:val="center"/>
            </w:pPr>
            <w:r>
              <w:t xml:space="preserve">20 (</w:t>
            </w:r>
            <w:r>
              <w:rPr>
                <w:b/>
                <w:bCs/>
              </w:rPr>
              <w:t xml:space="preserve">15.6</w:t>
            </w:r>
            <w:r>
              <w:t xml:space="preserve">)</w:t>
            </w:r>
          </w:p>
        </w:tc>
        <w:tc>
          <w:tcPr/>
          <w:p>
            <w:pPr>
              <w:pStyle w:val="Compact"/>
              <w:jc w:val="right"/>
            </w:pPr>
            <w:r>
              <w:t xml:space="preserve">52</w:t>
            </w:r>
          </w:p>
        </w:tc>
      </w:tr>
      <w:tr>
        <w:tc>
          <w:tcPr/>
          <w:p>
            <w:pPr>
              <w:pStyle w:val="Compact"/>
              <w:jc w:val="left"/>
            </w:pPr>
            <w:r>
              <w:t xml:space="preserve">Placebo</w:t>
            </w:r>
          </w:p>
        </w:tc>
        <w:tc>
          <w:tcPr/>
          <w:p>
            <w:pPr>
              <w:pStyle w:val="Compact"/>
              <w:jc w:val="center"/>
            </w:pPr>
            <w:r>
              <w:t xml:space="preserve">12 (</w:t>
            </w:r>
            <w:r>
              <w:rPr>
                <w:b/>
                <w:bCs/>
              </w:rPr>
              <w:t xml:space="preserve">9.6</w:t>
            </w:r>
            <w:r>
              <w:t xml:space="preserve">)</w:t>
            </w:r>
          </w:p>
        </w:tc>
        <w:tc>
          <w:tcPr/>
          <w:p>
            <w:pPr>
              <w:pStyle w:val="Compact"/>
              <w:jc w:val="center"/>
            </w:pPr>
            <w:r>
              <w:t xml:space="preserve">26 (</w:t>
            </w:r>
            <w:r>
              <w:rPr>
                <w:b/>
                <w:bCs/>
              </w:rPr>
              <w:t xml:space="preserve">24.0</w:t>
            </w:r>
            <w:r>
              <w:t xml:space="preserve">)</w:t>
            </w:r>
          </w:p>
        </w:tc>
        <w:tc>
          <w:tcPr/>
          <w:p>
            <w:pPr>
              <w:pStyle w:val="Compact"/>
              <w:jc w:val="center"/>
            </w:pPr>
            <w:r>
              <w:t xml:space="preserve">10 (</w:t>
            </w:r>
            <w:r>
              <w:rPr>
                <w:b/>
                <w:bCs/>
              </w:rPr>
              <w:t xml:space="preserve">14.4</w:t>
            </w:r>
            <w:r>
              <w:t xml:space="preserve">)</w:t>
            </w:r>
          </w:p>
        </w:tc>
        <w:tc>
          <w:tcPr/>
          <w:p>
            <w:pPr>
              <w:pStyle w:val="Compact"/>
              <w:jc w:val="right"/>
            </w:pPr>
            <w:r>
              <w:t xml:space="preserve">48</w:t>
            </w:r>
          </w:p>
        </w:tc>
      </w:tr>
      <w:tr>
        <w:tc>
          <w:tcPr/>
          <w:p>
            <w:pPr>
              <w:pStyle w:val="Compact"/>
              <w:jc w:val="left"/>
            </w:pPr>
            <w:r>
              <w:t xml:space="preserve">TOTAL</w:t>
            </w:r>
          </w:p>
        </w:tc>
        <w:tc>
          <w:tcPr/>
          <w:p>
            <w:pPr>
              <w:pStyle w:val="Compact"/>
              <w:jc w:val="center"/>
            </w:pPr>
            <w:r>
              <w:t xml:space="preserve">20</w:t>
            </w:r>
          </w:p>
        </w:tc>
        <w:tc>
          <w:tcPr/>
          <w:p>
            <w:pPr>
              <w:pStyle w:val="Compact"/>
              <w:jc w:val="center"/>
            </w:pPr>
            <w:r>
              <w:t xml:space="preserve">50</w:t>
            </w:r>
          </w:p>
        </w:tc>
        <w:tc>
          <w:tcPr/>
          <w:p>
            <w:pPr>
              <w:pStyle w:val="Compact"/>
              <w:jc w:val="center"/>
            </w:pPr>
            <w:r>
              <w:t xml:space="preserve">30</w:t>
            </w:r>
          </w:p>
        </w:tc>
        <w:tc>
          <w:tcPr/>
          <w:p>
            <w:pPr>
              <w:pStyle w:val="Compact"/>
              <w:jc w:val="right"/>
            </w:pPr>
            <w:r>
              <w:t xml:space="preserve">100</w:t>
            </w:r>
          </w:p>
        </w:tc>
      </w:tr>
    </w:tbl>
    <w:p>
      <w:pPr>
        <w:pStyle w:val="Compact"/>
        <w:numPr>
          <w:ilvl w:val="0"/>
          <w:numId w:val="1013"/>
        </w:numPr>
      </w:pPr>
      <w:r>
        <w:t xml:space="preserve">Do we meet the Cochran conditions in this case?</w:t>
      </w:r>
    </w:p>
    <w:bookmarkEnd w:id="34"/>
    <w:bookmarkStart w:id="35" w:name="getting-the-table-into-r"/>
    <w:p>
      <w:pPr>
        <w:pStyle w:val="Heading2"/>
      </w:pPr>
      <w:r>
        <w:t xml:space="preserve">Getting the Table into R</w:t>
      </w:r>
    </w:p>
    <w:p>
      <w:pPr>
        <w:pStyle w:val="FirstParagraph"/>
      </w:pPr>
      <w:r>
        <w:t xml:space="preserve">We’ll put the table into a matrix in R. Here’s one approach…</w:t>
      </w:r>
    </w:p>
    <w:p>
      <w:pPr>
        <w:pStyle w:val="SourceCode"/>
      </w:pPr>
      <w:r>
        <w:rPr>
          <w:rStyle w:val="NormalTok"/>
        </w:rPr>
        <w:t xml:space="preserve">T1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24</w:t>
      </w:r>
      <w:r>
        <w:rPr>
          <w:rStyle w:val="NormalTok"/>
        </w:rPr>
        <w:t xml:space="preserve">, </w:t>
      </w:r>
      <w:r>
        <w:rPr>
          <w:rStyle w:val="DecValTok"/>
        </w:rPr>
        <w:t xml:space="preserve">20</w:t>
      </w:r>
      <w:r>
        <w:rPr>
          <w:rStyle w:val="NormalTok"/>
        </w:rPr>
        <w:t xml:space="preserve">, </w:t>
      </w:r>
      <w:r>
        <w:rPr>
          <w:rStyle w:val="DecValTok"/>
        </w:rPr>
        <w:t xml:space="preserve">12</w:t>
      </w:r>
      <w:r>
        <w:rPr>
          <w:rStyle w:val="NormalTok"/>
        </w:rPr>
        <w:t xml:space="preserve">, </w:t>
      </w:r>
      <w:r>
        <w:rPr>
          <w:rStyle w:val="DecValTok"/>
        </w:rPr>
        <w:t xml:space="preserve">26</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ncol=</w:t>
      </w:r>
      <w:r>
        <w:rPr>
          <w:rStyle w:val="DecValTok"/>
        </w:rPr>
        <w:t xml:space="preserve">3</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rownames</w:t>
      </w:r>
      <w:r>
        <w:rPr>
          <w:rStyle w:val="NormalTok"/>
        </w:rPr>
        <w:t xml:space="preserve">(T1)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"Active"</w:t>
      </w:r>
      <w:r>
        <w:rPr>
          <w:rStyle w:val="NormalTok"/>
        </w:rPr>
        <w:t xml:space="preserve">, </w:t>
      </w:r>
      <w:r>
        <w:rPr>
          <w:rStyle w:val="StringTok"/>
        </w:rPr>
        <w:t xml:space="preserve">"Placebo"</w:t>
      </w:r>
      <w:r>
        <w:rPr>
          <w:rStyle w:val="NormalTok"/>
        </w:rPr>
        <w:t xml:space="preserve">)</w:t>
      </w:r>
      <w:r>
        <w:br/>
      </w:r>
      <w:r>
        <w:rPr>
          <w:rStyle w:val="FunctionTok"/>
        </w:rPr>
        <w:t xml:space="preserve">colnames</w:t>
      </w:r>
      <w:r>
        <w:rPr>
          <w:rStyle w:val="NormalTok"/>
        </w:rPr>
        <w:t xml:space="preserve">(T1)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"None"</w:t>
      </w:r>
      <w:r>
        <w:rPr>
          <w:rStyle w:val="NormalTok"/>
        </w:rPr>
        <w:t xml:space="preserve">, </w:t>
      </w:r>
      <w:r>
        <w:rPr>
          <w:rStyle w:val="StringTok"/>
        </w:rPr>
        <w:t xml:space="preserve">"Partial"</w:t>
      </w:r>
      <w:r>
        <w:rPr>
          <w:rStyle w:val="NormalTok"/>
        </w:rPr>
        <w:t xml:space="preserve">, </w:t>
      </w:r>
      <w:r>
        <w:rPr>
          <w:rStyle w:val="StringTok"/>
        </w:rPr>
        <w:t xml:space="preserve">"Complete"</w:t>
      </w:r>
      <w:r>
        <w:rPr>
          <w:rStyle w:val="NormalTok"/>
        </w:rPr>
        <w:t xml:space="preserve">)</w:t>
      </w:r>
      <w:r>
        <w:br/>
      </w:r>
      <w:r>
        <w:rPr>
          <w:rStyle w:val="NormalTok"/>
        </w:rPr>
        <w:t xml:space="preserve">T1</w:t>
      </w:r>
    </w:p>
    <w:p>
      <w:pPr>
        <w:pStyle w:val="SourceCode"/>
      </w:pPr>
      <w:r>
        <w:rPr>
          <w:rStyle w:val="VerbatimChar"/>
        </w:rPr>
        <w:t xml:space="preserve">        None Partial Complete</w:t>
      </w:r>
      <w:r>
        <w:br/>
      </w:r>
      <w:r>
        <w:rPr>
          <w:rStyle w:val="VerbatimChar"/>
        </w:rPr>
        <w:t xml:space="preserve">Active     8      24       20</w:t>
      </w:r>
      <w:r>
        <w:br/>
      </w:r>
      <w:r>
        <w:rPr>
          <w:rStyle w:val="VerbatimChar"/>
        </w:rPr>
        <w:t xml:space="preserve">Placebo   12      26       10</w:t>
      </w:r>
    </w:p>
    <w:p>
      <w:pPr>
        <w:pStyle w:val="SourceCode"/>
      </w:pPr>
      <w:r>
        <w:rPr>
          <w:rStyle w:val="FunctionTok"/>
        </w:rPr>
        <w:t xml:space="preserve">chisq.test</w:t>
      </w:r>
      <w:r>
        <w:rPr>
          <w:rStyle w:val="NormalTok"/>
        </w:rPr>
        <w:t xml:space="preserve">(T1)</w:t>
      </w:r>
    </w:p>
    <w:p>
      <w:pPr>
        <w:pStyle w:val="SourceCode"/>
      </w:pPr>
      <w:r>
        <w:br/>
      </w:r>
      <w:r>
        <w:rPr>
          <w:rStyle w:val="VerbatimChar"/>
        </w:rPr>
        <w:t xml:space="preserve">    Pearson's Chi-squared test</w:t>
      </w:r>
      <w:r>
        <w:br/>
      </w:r>
      <w:r>
        <w:br/>
      </w:r>
      <w:r>
        <w:rPr>
          <w:rStyle w:val="VerbatimChar"/>
        </w:rPr>
        <w:t xml:space="preserve">data:  T1</w:t>
      </w:r>
      <w:r>
        <w:br/>
      </w:r>
      <w:r>
        <w:rPr>
          <w:rStyle w:val="VerbatimChar"/>
        </w:rPr>
        <w:t xml:space="preserve">X-squared = 4.0598, df = 2, p-value = 0.1313</w:t>
      </w:r>
    </w:p>
    <w:bookmarkEnd w:id="35"/>
    <w:bookmarkStart w:id="36" w:name="chi-square-test-results-in-r"/>
    <w:p>
      <w:pPr>
        <w:pStyle w:val="Heading2"/>
      </w:pPr>
      <w:r>
        <w:t xml:space="preserve">Chi-Square Test Results in R</w:t>
      </w:r>
    </w:p>
    <w:p>
      <w:pPr>
        <w:pStyle w:val="Compact"/>
        <w:numPr>
          <w:ilvl w:val="0"/>
          <w:numId w:val="1014"/>
        </w:numPr>
      </w:pPr>
      <m:oMath>
        <m:sSub>
          <m:e>
            <m:r>
              <m:t>H</m:t>
            </m:r>
          </m:e>
          <m:sub>
            <m:r>
              <m:t>0</m:t>
            </m:r>
          </m:sub>
        </m:sSub>
      </m:oMath>
      <w:r>
        <w:t xml:space="preserve">: Response Distribution is the same, regardless of Treatment.</w:t>
      </w:r>
    </w:p>
    <w:p>
      <w:pPr>
        <w:pStyle w:val="Compact"/>
        <w:numPr>
          <w:ilvl w:val="1"/>
          <w:numId w:val="1015"/>
        </w:numPr>
      </w:pPr>
      <w:r>
        <w:t xml:space="preserve">Rows and Columns of the table are</w:t>
      </w:r>
      <w:r>
        <w:t xml:space="preserve"> </w:t>
      </w:r>
      <w:r>
        <w:rPr>
          <w:i/>
          <w:iCs/>
        </w:rPr>
        <w:t xml:space="preserve">independent</w:t>
      </w:r>
    </w:p>
    <w:p>
      <w:pPr>
        <w:pStyle w:val="Compact"/>
        <w:numPr>
          <w:ilvl w:val="0"/>
          <w:numId w:val="1014"/>
        </w:numPr>
      </w:pPr>
      <m:oMath>
        <m:sSub>
          <m:e>
            <m:r>
              <m:t>H</m:t>
            </m:r>
          </m:e>
          <m:sub>
            <m:r>
              <m:t>A</m:t>
            </m:r>
          </m:sub>
        </m:sSub>
      </m:oMath>
      <w:r>
        <w:t xml:space="preserve">: There is an association between Treatment and Response.</w:t>
      </w:r>
    </w:p>
    <w:p>
      <w:pPr>
        <w:pStyle w:val="Compact"/>
        <w:numPr>
          <w:ilvl w:val="1"/>
          <w:numId w:val="1016"/>
        </w:numPr>
      </w:pPr>
      <w:r>
        <w:t xml:space="preserve">Rows and Columns of the table are</w:t>
      </w:r>
      <w:r>
        <w:t xml:space="preserve"> </w:t>
      </w:r>
      <w:r>
        <w:rPr>
          <w:i/>
          <w:iCs/>
        </w:rPr>
        <w:t xml:space="preserve">associated</w:t>
      </w:r>
      <w:r>
        <w:t xml:space="preserve">.</w:t>
      </w:r>
    </w:p>
    <w:p>
      <w:pPr>
        <w:pStyle w:val="Compact"/>
        <w:numPr>
          <w:ilvl w:val="0"/>
          <w:numId w:val="1014"/>
        </w:numPr>
      </w:pPr>
      <w:r>
        <w:t xml:space="preserve">For our T1, the results were:</w:t>
      </w:r>
      <w:r>
        <w:t xml:space="preserve"> </w:t>
      </w:r>
      <m:oMath>
        <m:sSup>
          <m:e>
            <m:r>
              <m:t>χ</m:t>
            </m:r>
          </m:e>
          <m:sup>
            <m:r>
              <m:t>2</m:t>
            </m:r>
          </m:sup>
        </m:sSup>
      </m:oMath>
      <w:r>
        <w:t xml:space="preserve"> </w:t>
      </w:r>
      <w:r>
        <w:t xml:space="preserve">= 4.0598, df = 2,</w:t>
      </w:r>
      <w:r>
        <w:t xml:space="preserve"> </w:t>
      </w:r>
      <w:r>
        <w:rPr>
          <w:i/>
          <w:iCs/>
        </w:rPr>
        <w:t xml:space="preserve">p</w:t>
      </w:r>
      <w:r>
        <w:t xml:space="preserve"> </w:t>
      </w:r>
      <w:r>
        <w:t xml:space="preserve">= 0.1313</w:t>
      </w:r>
    </w:p>
    <w:p>
      <w:pPr>
        <w:pStyle w:val="FirstParagraph"/>
      </w:pPr>
      <w:r>
        <w:t xml:space="preserve">What is the conclusion?</w:t>
      </w:r>
    </w:p>
    <w:bookmarkEnd w:id="36"/>
    <w:bookmarkStart w:id="37" w:name="does-sample-size-affect-the-chi2-test"/>
    <w:p>
      <w:pPr>
        <w:pStyle w:val="Heading2"/>
      </w:pPr>
      <w:r>
        <w:t xml:space="preserve">Does Sample Size Affect The</w:t>
      </w:r>
      <w:r>
        <w:t xml:space="preserve"> </w:t>
      </w:r>
      <m:oMath>
        <m:sSup>
          <m:e>
            <m:r>
              <m:t>χ</m:t>
            </m:r>
          </m:e>
          <m:sup>
            <m:r>
              <m:t>2</m:t>
            </m:r>
          </m:sup>
        </m:sSup>
      </m:oMath>
      <w:r>
        <w:t xml:space="preserve"> </w:t>
      </w:r>
      <w:r>
        <w:t xml:space="preserve">Test?</w:t>
      </w:r>
    </w:p>
    <w:p>
      <w:pPr>
        <w:pStyle w:val="Compact"/>
        <w:numPr>
          <w:ilvl w:val="0"/>
          <w:numId w:val="1017"/>
        </w:numPr>
      </w:pPr>
      <w:r>
        <w:t xml:space="preserve">T1 results were:</w:t>
      </w:r>
      <w:r>
        <w:t xml:space="preserve"> </w:t>
      </w:r>
      <m:oMath>
        <m:sSup>
          <m:e>
            <m:r>
              <m:t>χ</m:t>
            </m:r>
          </m:e>
          <m:sup>
            <m:r>
              <m:t>2</m:t>
            </m:r>
          </m:sup>
        </m:sSup>
      </m:oMath>
      <w:r>
        <w:t xml:space="preserve"> </w:t>
      </w:r>
      <w:r>
        <w:t xml:space="preserve">= 4.0598, df = 2,</w:t>
      </w:r>
      <w:r>
        <w:t xml:space="preserve"> </w:t>
      </w:r>
      <w:r>
        <w:rPr>
          <w:i/>
          <w:iCs/>
        </w:rPr>
        <w:t xml:space="preserve">p</w:t>
      </w:r>
      <w:r>
        <w:t xml:space="preserve"> </w:t>
      </w:r>
      <w:r>
        <w:t xml:space="preserve">= 0.1313</w:t>
      </w:r>
    </w:p>
    <w:p>
      <w:pPr>
        <w:pStyle w:val="Compact"/>
        <w:numPr>
          <w:ilvl w:val="0"/>
          <w:numId w:val="1017"/>
        </w:numPr>
      </w:pPr>
      <w:r>
        <w:t xml:space="preserve">What if we had the same pattern, but twice as much data?</w:t>
      </w:r>
    </w:p>
    <w:p>
      <w:pPr>
        <w:pStyle w:val="SourceCode"/>
      </w:pPr>
      <w:r>
        <w:rPr>
          <w:rStyle w:val="NormalTok"/>
        </w:rPr>
        <w:t xml:space="preserve">T1_doubled </w:t>
      </w:r>
      <w:r>
        <w:rPr>
          <w:rStyle w:val="OtherTok"/>
        </w:rPr>
        <w:t xml:space="preserve">&lt;-</w:t>
      </w:r>
      <w:r>
        <w:rPr>
          <w:rStyle w:val="NormalTok"/>
        </w:rPr>
        <w:t xml:space="preserve"> T1</w:t>
      </w:r>
      <w:r>
        <w:rPr>
          <w:rStyle w:val="SpecialCharTok"/>
        </w:rPr>
        <w:t xml:space="preserve">*</w:t>
      </w:r>
      <w:r>
        <w:rPr>
          <w:rStyle w:val="DecValTok"/>
        </w:rPr>
        <w:t xml:space="preserve">2</w:t>
      </w:r>
      <w:r>
        <w:br/>
      </w:r>
      <w:r>
        <w:rPr>
          <w:rStyle w:val="NormalTok"/>
        </w:rPr>
        <w:t xml:space="preserve">T1_doubled</w:t>
      </w:r>
    </w:p>
    <w:p>
      <w:pPr>
        <w:pStyle w:val="SourceCode"/>
      </w:pPr>
      <w:r>
        <w:rPr>
          <w:rStyle w:val="VerbatimChar"/>
        </w:rPr>
        <w:t xml:space="preserve">        None Partial Complete</w:t>
      </w:r>
      <w:r>
        <w:br/>
      </w:r>
      <w:r>
        <w:rPr>
          <w:rStyle w:val="VerbatimChar"/>
        </w:rPr>
        <w:t xml:space="preserve">Active    16      48       40</w:t>
      </w:r>
      <w:r>
        <w:br/>
      </w:r>
      <w:r>
        <w:rPr>
          <w:rStyle w:val="VerbatimChar"/>
        </w:rPr>
        <w:t xml:space="preserve">Placebo   24      52       20</w:t>
      </w:r>
    </w:p>
    <w:p>
      <w:pPr>
        <w:pStyle w:val="SourceCode"/>
      </w:pPr>
      <w:r>
        <w:rPr>
          <w:rStyle w:val="FunctionTok"/>
        </w:rPr>
        <w:t xml:space="preserve">chisq.test</w:t>
      </w:r>
      <w:r>
        <w:rPr>
          <w:rStyle w:val="NormalTok"/>
        </w:rPr>
        <w:t xml:space="preserve">(T1_doubled)</w:t>
      </w:r>
    </w:p>
    <w:p>
      <w:pPr>
        <w:pStyle w:val="SourceCode"/>
      </w:pPr>
      <w:r>
        <w:br/>
      </w:r>
      <w:r>
        <w:rPr>
          <w:rStyle w:val="VerbatimChar"/>
        </w:rPr>
        <w:t xml:space="preserve">    Pearson's Chi-squared test</w:t>
      </w:r>
      <w:r>
        <w:br/>
      </w:r>
      <w:r>
        <w:br/>
      </w:r>
      <w:r>
        <w:rPr>
          <w:rStyle w:val="VerbatimChar"/>
        </w:rPr>
        <w:t xml:space="preserve">data:  T1_doubled</w:t>
      </w:r>
      <w:r>
        <w:br/>
      </w:r>
      <w:r>
        <w:rPr>
          <w:rStyle w:val="VerbatimChar"/>
        </w:rPr>
        <w:t xml:space="preserve">X-squared = 8.1197, df = 2, p-value = 0.01725</w:t>
      </w:r>
    </w:p>
    <w:bookmarkEnd w:id="37"/>
    <w:bookmarkStart w:id="38" w:name="fishers-exact-test-instead"/>
    <w:p>
      <w:pPr>
        <w:pStyle w:val="Heading2"/>
      </w:pPr>
      <w:r>
        <w:t xml:space="preserve">Fisher’s exact test instead?</w:t>
      </w:r>
    </w:p>
    <w:p>
      <w:pPr>
        <w:pStyle w:val="FirstParagraph"/>
      </w:pPr>
      <w:r>
        <w:t xml:space="preserve">Yes, but … if the Pearson assumptions don’t hold, then the Fisher’s test is not generally an improvement.</w:t>
      </w:r>
    </w:p>
    <w:p>
      <w:pPr>
        <w:pStyle w:val="SourceCode"/>
      </w:pPr>
      <w:r>
        <w:rPr>
          <w:rStyle w:val="FunctionTok"/>
        </w:rPr>
        <w:t xml:space="preserve">fisher.test</w:t>
      </w:r>
      <w:r>
        <w:rPr>
          <w:rStyle w:val="NormalTok"/>
        </w:rPr>
        <w:t xml:space="preserve">(T1)</w:t>
      </w:r>
    </w:p>
    <w:p>
      <w:pPr>
        <w:pStyle w:val="SourceCode"/>
      </w:pPr>
      <w:r>
        <w:br/>
      </w:r>
      <w:r>
        <w:rPr>
          <w:rStyle w:val="VerbatimChar"/>
        </w:rPr>
        <w:t xml:space="preserve">    Fisher's Exact Test for Count Data</w:t>
      </w:r>
      <w:r>
        <w:br/>
      </w:r>
      <w:r>
        <w:br/>
      </w:r>
      <w:r>
        <w:rPr>
          <w:rStyle w:val="VerbatimChar"/>
        </w:rPr>
        <w:t xml:space="preserve">data:  T1</w:t>
      </w:r>
      <w:r>
        <w:br/>
      </w:r>
      <w:r>
        <w:rPr>
          <w:rStyle w:val="VerbatimChar"/>
        </w:rPr>
        <w:t xml:space="preserve">p-value = 0.1358</w:t>
      </w:r>
      <w:r>
        <w:br/>
      </w:r>
      <w:r>
        <w:rPr>
          <w:rStyle w:val="VerbatimChar"/>
        </w:rPr>
        <w:t xml:space="preserve">alternative hypothesis: two.sided</w:t>
      </w:r>
    </w:p>
    <w:p>
      <w:pPr>
        <w:pStyle w:val="Compact"/>
        <w:numPr>
          <w:ilvl w:val="0"/>
          <w:numId w:val="1018"/>
        </w:numPr>
      </w:pPr>
      <w:r>
        <w:t xml:space="preserve">Intended for small-ish square tables, with the same number of rows as columns.</w:t>
      </w:r>
    </w:p>
    <w:bookmarkEnd w:id="38"/>
    <w:bookmarkStart w:id="39" w:name="returning-to-the-dm-464-data"/>
    <w:p>
      <w:pPr>
        <w:pStyle w:val="Heading2"/>
      </w:pPr>
      <w:r>
        <w:t xml:space="preserve">Returning to the DM-464 data</w:t>
      </w:r>
    </w:p>
    <w:p>
      <w:pPr>
        <w:pStyle w:val="Compact"/>
        <w:numPr>
          <w:ilvl w:val="0"/>
          <w:numId w:val="1019"/>
        </w:numPr>
      </w:pPr>
      <w:r>
        <w:t xml:space="preserve">We discussed these data (other variables) in Classes 5-7.</w:t>
      </w:r>
    </w:p>
    <w:p>
      <w:pPr>
        <w:pStyle w:val="SourceCode"/>
      </w:pPr>
      <w:r>
        <w:rPr>
          <w:rStyle w:val="NormalTok"/>
        </w:rPr>
        <w:t xml:space="preserve">dm1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"c13/data/dm464_class12.csv"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tobacco =</w:t>
      </w:r>
      <w:r>
        <w:rPr>
          <w:rStyle w:val="NormalTok"/>
        </w:rPr>
        <w:t xml:space="preserve"> </w:t>
      </w:r>
      <w:r>
        <w:rPr>
          <w:rStyle w:val="FunctionTok"/>
        </w:rPr>
        <w:t xml:space="preserve">fct_relevel</w:t>
      </w:r>
      <w:r>
        <w:rPr>
          <w:rStyle w:val="NormalTok"/>
        </w:rPr>
        <w:t xml:space="preserve">(tobacco, </w:t>
      </w:r>
      <w:r>
        <w:rPr>
          <w:rStyle w:val="StringTok"/>
        </w:rPr>
        <w:t xml:space="preserve">"Current"</w:t>
      </w:r>
      <w:r>
        <w:rPr>
          <w:rStyle w:val="NormalTok"/>
        </w:rPr>
        <w:t xml:space="preserve">, </w:t>
      </w:r>
      <w:r>
        <w:rPr>
          <w:rStyle w:val="StringTok"/>
        </w:rPr>
        <w:t xml:space="preserve">"Former"</w:t>
      </w:r>
      <w:r>
        <w:rPr>
          <w:rStyle w:val="NormalTok"/>
        </w:rPr>
        <w:t xml:space="preserve">),</w:t>
      </w:r>
      <w:r>
        <w:br/>
      </w:r>
      <w:r>
        <w:rPr>
          <w:rStyle w:val="NormalTok"/>
        </w:rPr>
        <w:t xml:space="preserve">           </w:t>
      </w:r>
      <w:r>
        <w:rPr>
          <w:rStyle w:val="AttributeTok"/>
        </w:rPr>
        <w:t xml:space="preserve">insurance =</w:t>
      </w:r>
      <w:r>
        <w:rPr>
          <w:rStyle w:val="NormalTok"/>
        </w:rPr>
        <w:t xml:space="preserve"> </w:t>
      </w:r>
      <w:r>
        <w:rPr>
          <w:rStyle w:val="FunctionTok"/>
        </w:rPr>
        <w:t xml:space="preserve">fct_relevel</w:t>
      </w:r>
      <w:r>
        <w:rPr>
          <w:rStyle w:val="NormalTok"/>
        </w:rPr>
        <w:t xml:space="preserve">(insurance, </w:t>
      </w:r>
      <w:r>
        <w:rPr>
          <w:rStyle w:val="StringTok"/>
        </w:rPr>
        <w:t xml:space="preserve">"Medicare"</w:t>
      </w:r>
      <w:r>
        <w:rPr>
          <w:rStyle w:val="NormalTok"/>
        </w:rPr>
        <w:t xml:space="preserve">, </w:t>
      </w:r>
      <w:r>
        <w:br/>
      </w:r>
      <w:r>
        <w:rPr>
          <w:rStyle w:val="NormalTok"/>
        </w:rPr>
        <w:t xml:space="preserve">                                   </w:t>
      </w:r>
      <w:r>
        <w:rPr>
          <w:rStyle w:val="StringTok"/>
        </w:rPr>
        <w:t xml:space="preserve">"Commercial"</w:t>
      </w:r>
      <w:r>
        <w:rPr>
          <w:rStyle w:val="NormalTok"/>
        </w:rPr>
        <w:t xml:space="preserve">, </w:t>
      </w:r>
      <w:r>
        <w:rPr>
          <w:rStyle w:val="StringTok"/>
        </w:rPr>
        <w:t xml:space="preserve">"Medicaid"</w:t>
      </w:r>
      <w:r>
        <w:rPr>
          <w:rStyle w:val="NormalTok"/>
        </w:rPr>
        <w:t xml:space="preserve">))</w:t>
      </w:r>
      <w:r>
        <w:br/>
      </w:r>
      <w:r>
        <w:br/>
      </w:r>
      <w:r>
        <w:rPr>
          <w:rStyle w:val="NormalTok"/>
        </w:rPr>
        <w:t xml:space="preserve">dm1 </w:t>
      </w:r>
      <w:r>
        <w:rPr>
          <w:rStyle w:val="SpecialCharTok"/>
        </w:rPr>
        <w:t xml:space="preserve">|&gt;</w:t>
      </w:r>
      <w:r>
        <w:rPr>
          <w:rStyle w:val="NormalTok"/>
        </w:rPr>
        <w:t xml:space="preserve"> </w:t>
      </w:r>
      <w:r>
        <w:rPr>
          <w:rStyle w:val="FunctionTok"/>
        </w:rPr>
        <w:t xml:space="preserve">tabyl</w:t>
      </w:r>
      <w:r>
        <w:rPr>
          <w:rStyle w:val="NormalTok"/>
        </w:rPr>
        <w:t xml:space="preserve">(tobacco, insurance)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SourceCode"/>
      </w:pPr>
      <w:r>
        <w:rPr>
          <w:rStyle w:val="VerbatimChar"/>
        </w:rPr>
        <w:t xml:space="preserve"> tobacco Medicare Commercial Medicaid Total</w:t>
      </w:r>
      <w:r>
        <w:br/>
      </w:r>
      <w:r>
        <w:rPr>
          <w:rStyle w:val="VerbatimChar"/>
        </w:rPr>
        <w:t xml:space="preserve"> Current       33          8       76   117</w:t>
      </w:r>
      <w:r>
        <w:br/>
      </w:r>
      <w:r>
        <w:rPr>
          <w:rStyle w:val="VerbatimChar"/>
        </w:rPr>
        <w:t xml:space="preserve">  Former       92         23       71   186</w:t>
      </w:r>
      <w:r>
        <w:br/>
      </w:r>
      <w:r>
        <w:rPr>
          <w:rStyle w:val="VerbatimChar"/>
        </w:rPr>
        <w:t xml:space="preserve">   Never       68         30       63   161</w:t>
      </w:r>
      <w:r>
        <w:br/>
      </w:r>
      <w:r>
        <w:rPr>
          <w:rStyle w:val="VerbatimChar"/>
        </w:rPr>
        <w:t xml:space="preserve">   Total      193         61      210   464</w:t>
      </w:r>
    </w:p>
    <w:bookmarkEnd w:id="39"/>
    <w:bookmarkStart w:id="43" w:name="dm1-bar-plots-with-counts"/>
    <w:p>
      <w:pPr>
        <w:pStyle w:val="Heading2"/>
      </w:pPr>
      <w:r>
        <w:t xml:space="preserve">dm1: Bar Plots with Counts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(dm1, </w:t>
      </w:r>
      <w:r>
        <w:rPr>
          <w:rStyle w:val="FunctionTok"/>
        </w:rPr>
        <w:t xml:space="preserve">aes</w:t>
      </w:r>
      <w:r>
        <w:rPr>
          <w:rStyle w:val="NormalTok"/>
        </w:rPr>
        <w:t xml:space="preserve">(</w:t>
      </w:r>
      <w:r>
        <w:rPr>
          <w:rStyle w:val="AttributeTok"/>
        </w:rPr>
        <w:t xml:space="preserve">x =</w:t>
      </w:r>
      <w:r>
        <w:rPr>
          <w:rStyle w:val="NormalTok"/>
        </w:rPr>
        <w:t xml:space="preserve"> insurance))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(dm1, </w:t>
      </w:r>
      <w:r>
        <w:rPr>
          <w:rStyle w:val="FunctionTok"/>
        </w:rPr>
        <w:t xml:space="preserve">aes</w:t>
      </w:r>
      <w:r>
        <w:rPr>
          <w:rStyle w:val="NormalTok"/>
        </w:rPr>
        <w:t xml:space="preserve">(</w:t>
      </w:r>
      <w:r>
        <w:rPr>
          <w:rStyle w:val="AttributeTok"/>
        </w:rPr>
        <w:t xml:space="preserve">x =</w:t>
      </w:r>
      <w:r>
        <w:rPr>
          <w:rStyle w:val="NormalTok"/>
        </w:rPr>
        <w:t xml:space="preserve"> tobacco))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w:t>
      </w:r>
      <w:r>
        <w:br/>
      </w:r>
      <w:r>
        <w:br/>
      </w:r>
      <w:r>
        <w:rPr>
          <w:rStyle w:val="NormalTok"/>
        </w:rPr>
        <w:t xml:space="preserve">p1 </w:t>
      </w:r>
      <w:r>
        <w:rPr>
          <w:rStyle w:val="SpecialCharTok"/>
        </w:rPr>
        <w:t xml:space="preserve">+</w:t>
      </w:r>
      <w:r>
        <w:rPr>
          <w:rStyle w:val="NormalTok"/>
        </w:rPr>
        <w:t xml:space="preserve"> p2 </w:t>
      </w:r>
    </w:p>
    <w:p>
      <w:pPr>
        <w:pStyle w:val="SourceCode"/>
      </w:pPr>
      <w:r>
        <w:rPr>
          <w:rStyle w:val="VerbatimChar"/>
        </w:rPr>
        <w:t xml:space="preserve">Warning: The dot-dot notation (`..count..`) was deprecated in ggplot2 3.4.0.</w:t>
      </w:r>
      <w:r>
        <w:br/>
      </w:r>
      <w:r>
        <w:rPr>
          <w:rStyle w:val="VerbatimChar"/>
        </w:rPr>
        <w:t xml:space="preserve">ℹ Please use `after_stat(count)` instead.</w:t>
      </w:r>
    </w:p>
    <w:p>
      <w:pPr>
        <w:pStyle w:val="FirstParagraph"/>
      </w:pPr>
      <w:r>
        <w:drawing>
          <wp:inline>
            <wp:extent cx="4620126" cy="3696101"/>
            <wp:effectExtent b="0" l="0" r="0" t="0"/>
            <wp:docPr descr="" title="" id="41" name="Picture"/>
            <a:graphic>
              <a:graphicData uri="http://schemas.openxmlformats.org/drawingml/2006/picture">
                <pic:pic>
                  <pic:nvPicPr>
                    <pic:cNvPr descr="class13w_files/figure-docx/unnamed-chunk-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4" w:name="a-3-times-3-table-with-the-dm1-data"/>
    <w:p>
      <w:pPr>
        <w:pStyle w:val="Heading2"/>
      </w:pPr>
      <w:r>
        <w:t xml:space="preserve">A</w:t>
      </w:r>
      <w:r>
        <w:t xml:space="preserve"> </w:t>
      </w:r>
      <m:oMath>
        <m:r>
          <m:t>3</m:t>
        </m:r>
        <m:r>
          <m:rPr>
            <m:sty m:val="p"/>
          </m:rPr>
          <m:t>×</m:t>
        </m:r>
        <m:r>
          <m:t>3</m:t>
        </m:r>
      </m:oMath>
      <w:r>
        <w:t xml:space="preserve"> </w:t>
      </w:r>
      <w:r>
        <w:t xml:space="preserve">table with the</w:t>
      </w:r>
      <w:r>
        <w:t xml:space="preserve"> </w:t>
      </w:r>
      <w:r>
        <w:rPr>
          <w:rStyle w:val="VerbatimChar"/>
        </w:rPr>
        <w:t xml:space="preserve">dm1</w:t>
      </w:r>
      <w:r>
        <w:t xml:space="preserve"> </w:t>
      </w:r>
      <w:r>
        <w:t xml:space="preserve">data</w:t>
      </w:r>
    </w:p>
    <w:p>
      <w:pPr>
        <w:pStyle w:val="SourceCode"/>
      </w:pPr>
      <w:r>
        <w:rPr>
          <w:rStyle w:val="NormalTok"/>
        </w:rPr>
        <w:t xml:space="preserve">dm1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(insurance, tobacco)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SourceCode"/>
      </w:pPr>
      <w:r>
        <w:rPr>
          <w:rStyle w:val="VerbatimChar"/>
        </w:rPr>
        <w:t xml:space="preserve">  insurance Current Former Never Total</w:t>
      </w:r>
      <w:r>
        <w:br/>
      </w:r>
      <w:r>
        <w:rPr>
          <w:rStyle w:val="VerbatimChar"/>
        </w:rPr>
        <w:t xml:space="preserve">   Medicare      33     92    68   193</w:t>
      </w:r>
      <w:r>
        <w:br/>
      </w:r>
      <w:r>
        <w:rPr>
          <w:rStyle w:val="VerbatimChar"/>
        </w:rPr>
        <w:t xml:space="preserve"> Commercial       8     23    30    61</w:t>
      </w:r>
      <w:r>
        <w:br/>
      </w:r>
      <w:r>
        <w:rPr>
          <w:rStyle w:val="VerbatimChar"/>
        </w:rPr>
        <w:t xml:space="preserve">   Medicaid      76     71    63   210</w:t>
      </w:r>
      <w:r>
        <w:br/>
      </w:r>
      <w:r>
        <w:rPr>
          <w:rStyle w:val="VerbatimChar"/>
        </w:rPr>
        <w:t xml:space="preserve">      Total     117    186   161   464</w:t>
      </w:r>
    </w:p>
    <w:bookmarkEnd w:id="44"/>
    <w:bookmarkStart w:id="48" w:name="plotting-a-cross-tabulation"/>
    <w:p>
      <w:pPr>
        <w:pStyle w:val="Heading2"/>
      </w:pPr>
      <w:r>
        <w:t xml:space="preserve">Plotting a Cross-Tabulation?</w:t>
      </w:r>
    </w:p>
    <w:p>
      <w:pPr>
        <w:pStyle w:val="SourceCode"/>
      </w:pPr>
      <w:r>
        <w:rPr>
          <w:rStyle w:val="FunctionTok"/>
        </w:rPr>
        <w:t xml:space="preserve">ggplot</w:t>
      </w:r>
      <w:r>
        <w:rPr>
          <w:rStyle w:val="NormalTok"/>
        </w:rPr>
        <w:t xml:space="preserve">(dm1, </w:t>
      </w:r>
      <w:r>
        <w:rPr>
          <w:rStyle w:val="FunctionTok"/>
        </w:rPr>
        <w:t xml:space="preserve">aes</w:t>
      </w:r>
      <w:r>
        <w:rPr>
          <w:rStyle w:val="NormalTok"/>
        </w:rPr>
        <w:t xml:space="preserve">(</w:t>
      </w:r>
      <w:r>
        <w:rPr>
          <w:rStyle w:val="AttributeTok"/>
        </w:rPr>
        <w:t xml:space="preserve">x =</w:t>
      </w:r>
      <w:r>
        <w:rPr>
          <w:rStyle w:val="NormalTok"/>
        </w:rPr>
        <w:t xml:space="preserve"> insurance, </w:t>
      </w:r>
      <w:r>
        <w:rPr>
          <w:rStyle w:val="AttributeTok"/>
        </w:rPr>
        <w:t xml:space="preserve">y =</w:t>
      </w:r>
      <w:r>
        <w:rPr>
          <w:rStyle w:val="NormalTok"/>
        </w:rPr>
        <w:t xml:space="preserve"> tobacco)) </w:t>
      </w:r>
      <w:r>
        <w:rPr>
          <w:rStyle w:val="SpecialCharTok"/>
        </w:rPr>
        <w:t xml:space="preserve">+</w:t>
      </w:r>
      <w:r>
        <w:br/>
      </w:r>
      <w:r>
        <w:rPr>
          <w:rStyle w:val="NormalTok"/>
        </w:rPr>
        <w:t xml:space="preserve">    </w:t>
      </w:r>
      <w:r>
        <w:rPr>
          <w:rStyle w:val="FunctionTok"/>
        </w:rPr>
        <w:t xml:space="preserve">geom_count</w:t>
      </w:r>
      <w:r>
        <w:rPr>
          <w:rStyle w:val="NormalTok"/>
        </w:rPr>
        <w:t xml:space="preserve">() </w:t>
      </w:r>
    </w:p>
    <w:p>
      <w:pPr>
        <w:pStyle w:val="FirstParagraph"/>
      </w:pPr>
      <w:r>
        <w:drawing>
          <wp:inline>
            <wp:extent cx="4620126" cy="3696101"/>
            <wp:effectExtent b="0" l="0" r="0" t="0"/>
            <wp:docPr descr="" title="" id="46" name="Picture"/>
            <a:graphic>
              <a:graphicData uri="http://schemas.openxmlformats.org/drawingml/2006/picture">
                <pic:pic>
                  <pic:nvPicPr>
                    <pic:cNvPr descr="class13w_files/figure-docx/unnamed-chunk-1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2" w:name="tobacco-bar-chart-faceted-by-insurance"/>
    <w:p>
      <w:pPr>
        <w:pStyle w:val="Heading2"/>
      </w:pPr>
      <w:r>
        <w:t xml:space="preserve">Tobacco Bar Chart faceted by Insurance</w:t>
      </w:r>
    </w:p>
    <w:p>
      <w:pPr>
        <w:pStyle w:val="SourceCode"/>
      </w:pPr>
      <w:r>
        <w:rPr>
          <w:rStyle w:val="FunctionTok"/>
        </w:rPr>
        <w:t xml:space="preserve">ggplot</w:t>
      </w:r>
      <w:r>
        <w:rPr>
          <w:rStyle w:val="NormalTok"/>
        </w:rPr>
        <w:t xml:space="preserve">(dm1, </w:t>
      </w:r>
      <w:r>
        <w:rPr>
          <w:rStyle w:val="FunctionTok"/>
        </w:rPr>
        <w:t xml:space="preserve">aes</w:t>
      </w:r>
      <w:r>
        <w:rPr>
          <w:rStyle w:val="NormalTok"/>
        </w:rPr>
        <w:t xml:space="preserve">(</w:t>
      </w:r>
      <w:r>
        <w:rPr>
          <w:rStyle w:val="AttributeTok"/>
        </w:rPr>
        <w:t xml:space="preserve">x =</w:t>
      </w:r>
      <w:r>
        <w:rPr>
          <w:rStyle w:val="NormalTok"/>
        </w:rPr>
        <w:t xml:space="preserve"> tobacco, </w:t>
      </w:r>
      <w:r>
        <w:rPr>
          <w:rStyle w:val="AttributeTok"/>
        </w:rPr>
        <w:t xml:space="preserve">fill =</w:t>
      </w:r>
      <w:r>
        <w:rPr>
          <w:rStyle w:val="NormalTok"/>
        </w:rPr>
        <w:t xml:space="preserve"> tobacco))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insurance)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class13w_files/figure-docx/unnamed-chunk-1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3" w:name="tobacco-status-and-insurance-in-dm1"/>
    <w:p>
      <w:pPr>
        <w:pStyle w:val="Heading2"/>
      </w:pPr>
      <w:r>
        <w:t xml:space="preserve">Tobacco Status and Insurance in</w:t>
      </w:r>
      <w:r>
        <w:t xml:space="preserve"> </w:t>
      </w:r>
      <w:r>
        <w:rPr>
          <w:rStyle w:val="VerbatimChar"/>
        </w:rPr>
        <w:t xml:space="preserve">dm1</w:t>
      </w:r>
    </w:p>
    <w:p>
      <w:pPr>
        <w:pStyle w:val="Compact"/>
        <w:numPr>
          <w:ilvl w:val="0"/>
          <w:numId w:val="1020"/>
        </w:numPr>
      </w:pPr>
      <m:oMath>
        <m:sSub>
          <m:e>
            <m:r>
              <m:t>H</m:t>
            </m:r>
          </m:e>
          <m:sub>
            <m:r>
              <m:t>0</m:t>
            </m:r>
          </m:sub>
        </m:sSub>
      </m:oMath>
      <w:r>
        <w:t xml:space="preserve">: Insurance type and Tobacco status are independent</w:t>
      </w:r>
    </w:p>
    <w:p>
      <w:pPr>
        <w:pStyle w:val="Compact"/>
        <w:numPr>
          <w:ilvl w:val="0"/>
          <w:numId w:val="1020"/>
        </w:numPr>
      </w:pPr>
      <m:oMath>
        <m:sSub>
          <m:e>
            <m:r>
              <m:t>H</m:t>
            </m:r>
          </m:e>
          <m:sub>
            <m:r>
              <m:t>A</m:t>
            </m:r>
          </m:sub>
        </m:sSub>
      </m:oMath>
      <w:r>
        <w:t xml:space="preserve">: Insurance type and Tobacco status have a detectable association</w:t>
      </w:r>
    </w:p>
    <w:p>
      <w:pPr>
        <w:pStyle w:val="FirstParagraph"/>
      </w:pPr>
      <w:r>
        <w:t xml:space="preserve">Pearson</w:t>
      </w:r>
      <w:r>
        <w:t xml:space="preserve"> </w:t>
      </w:r>
      <m:oMath>
        <m:sSup>
          <m:e>
            <m:r>
              <m:t>χ</m:t>
            </m:r>
          </m:e>
          <m:sup>
            <m:r>
              <m:t>2</m:t>
            </m:r>
          </m:sup>
        </m:sSup>
      </m:oMath>
      <w:r>
        <w:t xml:space="preserve"> </w:t>
      </w:r>
      <w:r>
        <w:t xml:space="preserve">results?</w:t>
      </w:r>
    </w:p>
    <w:p>
      <w:pPr>
        <w:pStyle w:val="SourceCode"/>
      </w:pPr>
      <w:r>
        <w:rPr>
          <w:rStyle w:val="NormalTok"/>
        </w:rPr>
        <w:t xml:space="preserve">dm1 </w:t>
      </w:r>
      <w:r>
        <w:rPr>
          <w:rStyle w:val="SpecialCharTok"/>
        </w:rPr>
        <w:t xml:space="preserve">|&gt;</w:t>
      </w:r>
      <w:r>
        <w:rPr>
          <w:rStyle w:val="NormalTok"/>
        </w:rPr>
        <w:t xml:space="preserve"> </w:t>
      </w:r>
      <w:r>
        <w:rPr>
          <w:rStyle w:val="FunctionTok"/>
        </w:rPr>
        <w:t xml:space="preserve">tabyl</w:t>
      </w:r>
      <w:r>
        <w:rPr>
          <w:rStyle w:val="NormalTok"/>
        </w:rPr>
        <w:t xml:space="preserve">(insurance, tobacco) </w:t>
      </w:r>
      <w:r>
        <w:rPr>
          <w:rStyle w:val="SpecialCharTok"/>
        </w:rPr>
        <w:t xml:space="preserve">|&gt;</w:t>
      </w:r>
      <w:r>
        <w:rPr>
          <w:rStyle w:val="NormalTok"/>
        </w:rPr>
        <w:t xml:space="preserve"> </w:t>
      </w:r>
      <w:r>
        <w:rPr>
          <w:rStyle w:val="FunctionTok"/>
        </w:rPr>
        <w:t xml:space="preserve">chisq.test</w:t>
      </w:r>
      <w:r>
        <w:rPr>
          <w:rStyle w:val="NormalTok"/>
        </w:rPr>
        <w:t xml:space="preserve">()</w:t>
      </w:r>
    </w:p>
    <w:p>
      <w:pPr>
        <w:pStyle w:val="SourceCode"/>
      </w:pPr>
      <w:r>
        <w:br/>
      </w:r>
      <w:r>
        <w:rPr>
          <w:rStyle w:val="VerbatimChar"/>
        </w:rPr>
        <w:t xml:space="preserve">    Pearson's Chi-squared test</w:t>
      </w:r>
      <w:r>
        <w:br/>
      </w:r>
      <w:r>
        <w:br/>
      </w:r>
      <w:r>
        <w:rPr>
          <w:rStyle w:val="VerbatimChar"/>
        </w:rPr>
        <w:t xml:space="preserve">data:  tabyl(dm1, insurance, tobacco)</w:t>
      </w:r>
      <w:r>
        <w:br/>
      </w:r>
      <w:r>
        <w:rPr>
          <w:rStyle w:val="VerbatimChar"/>
        </w:rPr>
        <w:t xml:space="preserve">X-squared = 28.574, df = 4, p-value = 9.542e-06</w:t>
      </w:r>
    </w:p>
    <w:p>
      <w:pPr>
        <w:pStyle w:val="FirstParagraph"/>
      </w:pPr>
      <w:r>
        <w:t xml:space="preserve">Can we check our expected frequencies?</w:t>
      </w:r>
    </w:p>
    <w:bookmarkEnd w:id="53"/>
    <w:bookmarkStart w:id="54" w:name="checking-expected-frequencies"/>
    <w:p>
      <w:pPr>
        <w:pStyle w:val="Heading2"/>
      </w:pPr>
      <w:r>
        <w:t xml:space="preserve">Checking Expected Frequencies</w:t>
      </w:r>
    </w:p>
    <w:p>
      <w:pPr>
        <w:pStyle w:val="SourceCode"/>
      </w:pPr>
      <w:r>
        <w:rPr>
          <w:rStyle w:val="NormalTok"/>
        </w:rPr>
        <w:t xml:space="preserve">res </w:t>
      </w:r>
      <w:r>
        <w:rPr>
          <w:rStyle w:val="OtherTok"/>
        </w:rPr>
        <w:t xml:space="preserve">&lt;-</w:t>
      </w:r>
      <w:r>
        <w:rPr>
          <w:rStyle w:val="NormalTok"/>
        </w:rPr>
        <w:t xml:space="preserve"> dm1 </w:t>
      </w:r>
      <w:r>
        <w:rPr>
          <w:rStyle w:val="SpecialCharTok"/>
        </w:rPr>
        <w:t xml:space="preserve">|&gt;</w:t>
      </w:r>
      <w:r>
        <w:rPr>
          <w:rStyle w:val="NormalTok"/>
        </w:rPr>
        <w:t xml:space="preserve"> </w:t>
      </w:r>
      <w:r>
        <w:rPr>
          <w:rStyle w:val="FunctionTok"/>
        </w:rPr>
        <w:t xml:space="preserve">tabyl</w:t>
      </w:r>
      <w:r>
        <w:rPr>
          <w:rStyle w:val="NormalTok"/>
        </w:rPr>
        <w:t xml:space="preserve">(insurance, tobacco) </w:t>
      </w:r>
      <w:r>
        <w:rPr>
          <w:rStyle w:val="SpecialCharTok"/>
        </w:rPr>
        <w:t xml:space="preserve">|&gt;</w:t>
      </w:r>
      <w:r>
        <w:rPr>
          <w:rStyle w:val="NormalTok"/>
        </w:rPr>
        <w:t xml:space="preserve"> </w:t>
      </w:r>
      <w:r>
        <w:rPr>
          <w:rStyle w:val="FunctionTok"/>
        </w:rPr>
        <w:t xml:space="preserve">chisq.test</w:t>
      </w:r>
      <w:r>
        <w:rPr>
          <w:rStyle w:val="NormalTok"/>
        </w:rPr>
        <w:t xml:space="preserve">()</w:t>
      </w:r>
      <w:r>
        <w:br/>
      </w:r>
      <w:r>
        <w:br/>
      </w:r>
      <w:r>
        <w:rPr>
          <w:rStyle w:val="NormalTok"/>
        </w:rPr>
        <w:t xml:space="preserve">res</w:t>
      </w:r>
      <w:r>
        <w:rPr>
          <w:rStyle w:val="SpecialCharTok"/>
        </w:rPr>
        <w:t xml:space="preserve">$</w:t>
      </w:r>
      <w:r>
        <w:rPr>
          <w:rStyle w:val="NormalTok"/>
        </w:rPr>
        <w:t xml:space="preserve">observed</w:t>
      </w:r>
    </w:p>
    <w:p>
      <w:pPr>
        <w:pStyle w:val="SourceCode"/>
      </w:pPr>
      <w:r>
        <w:rPr>
          <w:rStyle w:val="VerbatimChar"/>
        </w:rPr>
        <w:t xml:space="preserve">  insurance Current Former Never</w:t>
      </w:r>
      <w:r>
        <w:br/>
      </w:r>
      <w:r>
        <w:rPr>
          <w:rStyle w:val="VerbatimChar"/>
        </w:rPr>
        <w:t xml:space="preserve">   Medicare      33     92    68</w:t>
      </w:r>
      <w:r>
        <w:br/>
      </w:r>
      <w:r>
        <w:rPr>
          <w:rStyle w:val="VerbatimChar"/>
        </w:rPr>
        <w:t xml:space="preserve"> Commercial       8     23    30</w:t>
      </w:r>
      <w:r>
        <w:br/>
      </w:r>
      <w:r>
        <w:rPr>
          <w:rStyle w:val="VerbatimChar"/>
        </w:rPr>
        <w:t xml:space="preserve">   Medicaid      76     71    63</w:t>
      </w:r>
    </w:p>
    <w:p>
      <w:pPr>
        <w:pStyle w:val="SourceCode"/>
      </w:pPr>
      <w:r>
        <w:rPr>
          <w:rStyle w:val="NormalTok"/>
        </w:rPr>
        <w:t xml:space="preserve">res</w:t>
      </w:r>
      <w:r>
        <w:rPr>
          <w:rStyle w:val="SpecialCharTok"/>
        </w:rPr>
        <w:t xml:space="preserve">$</w:t>
      </w:r>
      <w:r>
        <w:rPr>
          <w:rStyle w:val="NormalTok"/>
        </w:rPr>
        <w:t xml:space="preserve">expected</w:t>
      </w:r>
    </w:p>
    <w:p>
      <w:pPr>
        <w:pStyle w:val="SourceCode"/>
      </w:pPr>
      <w:r>
        <w:rPr>
          <w:rStyle w:val="VerbatimChar"/>
        </w:rPr>
        <w:t xml:space="preserve">  insurance  Current   Former    Never</w:t>
      </w:r>
      <w:r>
        <w:br/>
      </w:r>
      <w:r>
        <w:rPr>
          <w:rStyle w:val="VerbatimChar"/>
        </w:rPr>
        <w:t xml:space="preserve">   Medicare 48.66595 77.36638 66.96767</w:t>
      </w:r>
      <w:r>
        <w:br/>
      </w:r>
      <w:r>
        <w:rPr>
          <w:rStyle w:val="VerbatimChar"/>
        </w:rPr>
        <w:t xml:space="preserve"> Commercial 15.38147 24.45259 21.16595</w:t>
      </w:r>
      <w:r>
        <w:br/>
      </w:r>
      <w:r>
        <w:rPr>
          <w:rStyle w:val="VerbatimChar"/>
        </w:rPr>
        <w:t xml:space="preserve">   Medicaid 52.95259 84.18103 72.86638</w:t>
      </w:r>
    </w:p>
    <w:p>
      <w:pPr>
        <w:pStyle w:val="FirstParagraph"/>
      </w:pPr>
      <w:r>
        <w:t xml:space="preserve">Any problems with Cochran conditions?</w:t>
      </w:r>
    </w:p>
    <w:bookmarkEnd w:id="54"/>
    <w:bookmarkStart w:id="58" w:name="mosaic-plot-for-cross-tabulation"/>
    <w:p>
      <w:pPr>
        <w:pStyle w:val="Heading2"/>
      </w:pPr>
      <w:r>
        <w:t xml:space="preserve">Mosaic Plot for Cross-Tabulation</w:t>
      </w:r>
    </w:p>
    <w:p>
      <w:pPr>
        <w:pStyle w:val="FirstParagraph"/>
      </w:pPr>
      <w:r>
        <w:t xml:space="preserve">Each rectangle’s area is proportional to the number of cases in that cell.</w:t>
      </w:r>
    </w:p>
    <w:p>
      <w:pPr>
        <w:pStyle w:val="SourceCode"/>
      </w:pPr>
      <w:r>
        <w:rPr>
          <w:rStyle w:val="FunctionTok"/>
        </w:rPr>
        <w:t xml:space="preserve">plot</w:t>
      </w:r>
      <w:r>
        <w:rPr>
          <w:rStyle w:val="NormalTok"/>
        </w:rPr>
        <w:t xml:space="preserve">(dm1</w:t>
      </w:r>
      <w:r>
        <w:rPr>
          <w:rStyle w:val="SpecialCharTok"/>
        </w:rPr>
        <w:t xml:space="preserve">$</w:t>
      </w:r>
      <w:r>
        <w:rPr>
          <w:rStyle w:val="NormalTok"/>
        </w:rPr>
        <w:t xml:space="preserve">insurance, dm1</w:t>
      </w:r>
      <w:r>
        <w:rPr>
          <w:rStyle w:val="SpecialCharTok"/>
        </w:rPr>
        <w:t xml:space="preserve">$</w:t>
      </w:r>
      <w:r>
        <w:rPr>
          <w:rStyle w:val="NormalTok"/>
        </w:rPr>
        <w:t xml:space="preserve">tobacco,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class13w_files/figure-docx/unnamed-chunk-15-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End w:id="59"/>
    <w:bookmarkStart w:id="72" w:name="X29709c13cf9b973450b84b8fa03359c4adb7049"/>
    <w:p>
      <w:pPr>
        <w:pStyle w:val="Heading1"/>
      </w:pPr>
      <w:r>
        <w:t xml:space="preserve">What’s Wrong with Statistical Significance?</w:t>
      </w:r>
    </w:p>
    <w:bookmarkStart w:id="60" w:name="comparing-2-means-unmatched"/>
    <w:p>
      <w:pPr>
        <w:pStyle w:val="Heading2"/>
      </w:pPr>
      <w:r>
        <w:t xml:space="preserve">Comparing 2 Means (Unmatched)</w:t>
      </w:r>
    </w:p>
    <w:p>
      <w:pPr>
        <w:pStyle w:val="FirstParagraph"/>
      </w:pPr>
      <w:r>
        <w:t xml:space="preserve">In the old days, I used to teach…</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r>
            <m:rPr>
              <m:nor/>
              <m:sty m:val="p"/>
            </m:rPr>
            <m:t> vs. </m:t>
          </m:r>
          <m:sSub>
            <m:e>
              <m:r>
                <m:t>H</m:t>
              </m:r>
            </m:e>
            <m:sub>
              <m:r>
                <m:t>A</m:t>
              </m:r>
            </m:sub>
          </m:sSub>
          <m:r>
            <m:rPr>
              <m:sty m:val="p"/>
            </m:rPr>
            <m:t>:</m:t>
          </m:r>
          <m:sSub>
            <m:e>
              <m:r>
                <m:t>μ</m:t>
              </m:r>
            </m:e>
            <m:sub>
              <m:r>
                <m:t>1</m:t>
              </m:r>
            </m:sub>
          </m:sSub>
          <m:r>
            <m:rPr>
              <m:sty m:val="p"/>
            </m:rPr>
            <m:t>≠</m:t>
          </m:r>
          <m:sSub>
            <m:e>
              <m:r>
                <m:t>μ</m:t>
              </m:r>
            </m:e>
            <m:sub>
              <m:r>
                <m:t>2</m:t>
              </m:r>
            </m:sub>
          </m:sSub>
        </m:oMath>
      </m:oMathPara>
    </w:p>
    <w:p>
      <w:pPr>
        <w:pStyle w:val="Compact"/>
        <w:numPr>
          <w:ilvl w:val="0"/>
          <w:numId w:val="1021"/>
        </w:numPr>
      </w:pPr>
      <w:r>
        <w:t xml:space="preserve">Decide on a significance level</w:t>
      </w:r>
      <w:r>
        <w:t xml:space="preserve"> </w:t>
      </w:r>
      <m:oMath>
        <m:r>
          <m:t>α</m:t>
        </m:r>
      </m:oMath>
      <w:r>
        <w:t xml:space="preserve">, usually 0.05</w:t>
      </w:r>
    </w:p>
    <w:p>
      <w:pPr>
        <w:pStyle w:val="Compact"/>
        <w:numPr>
          <w:ilvl w:val="0"/>
          <w:numId w:val="1021"/>
        </w:numPr>
      </w:pPr>
      <w:r>
        <w:t xml:space="preserve">Select the most appropriate test, and calculate the</w:t>
      </w:r>
      <w:r>
        <w:t xml:space="preserve"> </w:t>
      </w:r>
      <m:oMath>
        <m:r>
          <m:t>p</m:t>
        </m:r>
      </m:oMath>
      <w:r>
        <w:t xml:space="preserve">-value.</w:t>
      </w:r>
    </w:p>
    <w:p>
      <w:pPr>
        <w:pStyle w:val="Compact"/>
        <w:numPr>
          <w:ilvl w:val="0"/>
          <w:numId w:val="1021"/>
        </w:numPr>
      </w:pPr>
      <w:r>
        <w:t xml:space="preserve">If the</w:t>
      </w:r>
      <w:r>
        <w:t xml:space="preserve"> </w:t>
      </w:r>
      <m:oMath>
        <m:r>
          <m:t>p</m:t>
        </m:r>
      </m:oMath>
      <w:r>
        <w:t xml:space="preserve">-value is below</w:t>
      </w:r>
      <w:r>
        <w:t xml:space="preserve"> </w:t>
      </w:r>
      <m:oMath>
        <m:r>
          <m:t>α</m:t>
        </m:r>
      </m:oMath>
      <w:r>
        <w:t xml:space="preserve">, declare statistical significance.</w:t>
      </w:r>
    </w:p>
    <w:p>
      <w:pPr>
        <w:pStyle w:val="Compact"/>
        <w:numPr>
          <w:ilvl w:val="0"/>
          <w:numId w:val="1021"/>
        </w:numPr>
      </w:pPr>
      <w:r>
        <w:t xml:space="preserve">Otherwise, retain the null hypothesis that the means (may be) equal.</w:t>
      </w:r>
    </w:p>
    <w:bookmarkEnd w:id="60"/>
    <w:bookmarkStart w:id="61" w:name="comparing-2-means-matched"/>
    <w:p>
      <w:pPr>
        <w:pStyle w:val="Heading2"/>
      </w:pPr>
      <w:r>
        <w:t xml:space="preserve">Comparing 2 Means (Matched)</w:t>
      </w:r>
    </w:p>
    <w:p>
      <w:pPr>
        <w:pStyle w:val="FirstParagraph"/>
      </w:pPr>
      <w:r>
        <w:t xml:space="preserve">In the old days, let</w:t>
      </w:r>
      <w:r>
        <w:t xml:space="preserve"> </w:t>
      </w:r>
      <m:oMath>
        <m:r>
          <m:t>δ</m:t>
        </m:r>
      </m:oMath>
      <w:r>
        <w:t xml:space="preserve"> </w:t>
      </w:r>
      <w:r>
        <w:t xml:space="preserve">be the (true) mean of the paired differences.</w:t>
      </w:r>
    </w:p>
    <w:p>
      <w:pPr>
        <w:pStyle w:val="BodyText"/>
      </w:pPr>
      <m:oMathPara>
        <m:oMathParaPr>
          <m:jc m:val="center"/>
        </m:oMathParaPr>
        <m:oMath>
          <m:sSub>
            <m:e>
              <m:r>
                <m:t>H</m:t>
              </m:r>
            </m:e>
            <m:sub>
              <m:r>
                <m:t>0</m:t>
              </m:r>
            </m:sub>
          </m:sSub>
          <m:r>
            <m:rPr>
              <m:sty m:val="p"/>
            </m:rPr>
            <m:t>:</m:t>
          </m:r>
          <m:r>
            <m:t>δ</m:t>
          </m:r>
          <m:r>
            <m:rPr>
              <m:sty m:val="p"/>
            </m:rPr>
            <m:t>=</m:t>
          </m:r>
          <m:r>
            <m:t>0</m:t>
          </m:r>
          <m:r>
            <m:rPr>
              <m:nor/>
              <m:sty m:val="p"/>
            </m:rPr>
            <m:t> vs. </m:t>
          </m:r>
          <m:sSub>
            <m:e>
              <m:r>
                <m:t>H</m:t>
              </m:r>
            </m:e>
            <m:sub>
              <m:r>
                <m:t>A</m:t>
              </m:r>
            </m:sub>
          </m:sSub>
          <m:r>
            <m:rPr>
              <m:sty m:val="p"/>
            </m:rPr>
            <m:t>:</m:t>
          </m:r>
          <m:r>
            <m:t>δ</m:t>
          </m:r>
          <m:r>
            <m:rPr>
              <m:sty m:val="p"/>
            </m:rPr>
            <m:t>≠</m:t>
          </m:r>
          <m:r>
            <m:t>0</m:t>
          </m:r>
        </m:oMath>
      </m:oMathPara>
    </w:p>
    <w:p>
      <w:pPr>
        <w:pStyle w:val="Compact"/>
        <w:numPr>
          <w:ilvl w:val="0"/>
          <w:numId w:val="1022"/>
        </w:numPr>
      </w:pPr>
      <w:r>
        <w:t xml:space="preserve">Decide on a significance level</w:t>
      </w:r>
      <w:r>
        <w:t xml:space="preserve"> </w:t>
      </w:r>
      <m:oMath>
        <m:r>
          <m:t>α</m:t>
        </m:r>
      </m:oMath>
      <w:r>
        <w:t xml:space="preserve">, usually 0.05.</w:t>
      </w:r>
    </w:p>
    <w:p>
      <w:pPr>
        <w:pStyle w:val="Compact"/>
        <w:numPr>
          <w:ilvl w:val="0"/>
          <w:numId w:val="1022"/>
        </w:numPr>
      </w:pPr>
      <w:r>
        <w:t xml:space="preserve">Select the most appropriate test, and calculate the</w:t>
      </w:r>
      <w:r>
        <w:t xml:space="preserve"> </w:t>
      </w:r>
      <m:oMath>
        <m:r>
          <m:t>p</m:t>
        </m:r>
      </m:oMath>
      <w:r>
        <w:t xml:space="preserve">-value.</w:t>
      </w:r>
    </w:p>
    <w:p>
      <w:pPr>
        <w:pStyle w:val="Compact"/>
        <w:numPr>
          <w:ilvl w:val="0"/>
          <w:numId w:val="1022"/>
        </w:numPr>
      </w:pPr>
      <w:r>
        <w:t xml:space="preserve">If the</w:t>
      </w:r>
      <w:r>
        <w:t xml:space="preserve"> </w:t>
      </w:r>
      <m:oMath>
        <m:r>
          <m:t>p</m:t>
        </m:r>
      </m:oMath>
      <w:r>
        <w:t xml:space="preserve">-value is below</w:t>
      </w:r>
      <w:r>
        <w:t xml:space="preserve"> </w:t>
      </w:r>
      <m:oMath>
        <m:r>
          <m:t>α</m:t>
        </m:r>
      </m:oMath>
      <w:r>
        <w:t xml:space="preserve">, declare statistical significance.</w:t>
      </w:r>
    </w:p>
    <w:p>
      <w:pPr>
        <w:pStyle w:val="Compact"/>
        <w:numPr>
          <w:ilvl w:val="0"/>
          <w:numId w:val="1022"/>
        </w:numPr>
      </w:pPr>
      <w:r>
        <w:t xml:space="preserve">Otherwise, retain the null hypothesis that the mean of the differences (may be) zero.</w:t>
      </w:r>
    </w:p>
    <w:bookmarkEnd w:id="61"/>
    <w:bookmarkStart w:id="62" w:name="confidence-intervals-and-p-values"/>
    <w:p>
      <w:pPr>
        <w:pStyle w:val="Heading2"/>
      </w:pPr>
      <w:r>
        <w:t xml:space="preserve">Confidence Intervals and p-values</w:t>
      </w:r>
    </w:p>
    <w:p>
      <w:pPr>
        <w:pStyle w:val="FirstParagraph"/>
      </w:pPr>
      <w:r>
        <w:t xml:space="preserve">In the old days, I used to teach…</w:t>
      </w:r>
    </w:p>
    <w:p>
      <w:pPr>
        <w:pStyle w:val="BodyText"/>
      </w:pPr>
      <w:r>
        <w:t xml:space="preserve">If the 95% confidence interval doesn’t include the null hypothesized value, then the</w:t>
      </w:r>
      <w:r>
        <w:t xml:space="preserve"> </w:t>
      </w:r>
      <m:oMath>
        <m:r>
          <m:t>p</m:t>
        </m:r>
      </m:oMath>
      <w:r>
        <w:t xml:space="preserve"> </w:t>
      </w:r>
      <w:r>
        <w:t xml:space="preserve">value is below 0.05, and again…</w:t>
      </w:r>
    </w:p>
    <w:p>
      <w:pPr>
        <w:pStyle w:val="Compact"/>
        <w:numPr>
          <w:ilvl w:val="0"/>
          <w:numId w:val="1023"/>
        </w:numPr>
      </w:pPr>
      <w:r>
        <w:t xml:space="preserve">If the</w:t>
      </w:r>
      <w:r>
        <w:t xml:space="preserve"> </w:t>
      </w:r>
      <m:oMath>
        <m:r>
          <m:t>p</m:t>
        </m:r>
      </m:oMath>
      <w:r>
        <w:t xml:space="preserve">-value is below 0.05, declare statistical significance at the 95% confidence level.</w:t>
      </w:r>
    </w:p>
    <w:p>
      <w:pPr>
        <w:pStyle w:val="Compact"/>
        <w:numPr>
          <w:ilvl w:val="0"/>
          <w:numId w:val="1023"/>
        </w:numPr>
      </w:pPr>
      <w:r>
        <w:t xml:space="preserve">Otherwise, retain the null hypothesis that the mean of the differences (may be) zero.</w:t>
      </w:r>
    </w:p>
    <w:bookmarkEnd w:id="62"/>
    <w:bookmarkStart w:id="63" w:name="conventions-for-reporting-p-values"/>
    <w:p>
      <w:pPr>
        <w:pStyle w:val="Heading2"/>
      </w:pPr>
      <w:r>
        <w:t xml:space="preserve">Conventions for Reporting</w:t>
      </w:r>
      <w:r>
        <w:t xml:space="preserve"> </w:t>
      </w:r>
      <w:r>
        <w:rPr>
          <w:i/>
          <w:iCs/>
        </w:rPr>
        <w:t xml:space="preserve">p</w:t>
      </w:r>
      <w:r>
        <w:t xml:space="preserve"> </w:t>
      </w:r>
      <w:r>
        <w:t xml:space="preserve">Values</w:t>
      </w:r>
    </w:p>
    <w:p>
      <w:pPr>
        <w:pStyle w:val="FirstParagraph"/>
      </w:pPr>
      <w:r>
        <w:t xml:space="preserve">I also spent meaningful time on making your work look like everyone else…</w:t>
      </w:r>
    </w:p>
    <w:p>
      <w:pPr>
        <w:pStyle w:val="Compact"/>
        <w:numPr>
          <w:ilvl w:val="0"/>
          <w:numId w:val="1024"/>
        </w:numPr>
      </w:pPr>
      <w:r>
        <w:t xml:space="preserve">Use an italicized, lower-case</w:t>
      </w:r>
      <w:r>
        <w:t xml:space="preserve"> </w:t>
      </w:r>
      <w:r>
        <w:rPr>
          <w:i/>
          <w:iCs/>
        </w:rPr>
        <w:t xml:space="preserve">p</w:t>
      </w:r>
      <w:r>
        <w:t xml:space="preserve"> </w:t>
      </w:r>
      <w:r>
        <w:t xml:space="preserve">to specify the</w:t>
      </w:r>
      <w:r>
        <w:t xml:space="preserve"> </w:t>
      </w:r>
      <w:r>
        <w:rPr>
          <w:i/>
          <w:iCs/>
        </w:rPr>
        <w:t xml:space="preserve">p</w:t>
      </w:r>
      <w:r>
        <w:t xml:space="preserve"> </w:t>
      </w:r>
      <w:r>
        <w:t xml:space="preserve">value. Don’t use</w:t>
      </w:r>
      <w:r>
        <w:t xml:space="preserve"> </w:t>
      </w:r>
      <w:r>
        <w:rPr>
          <w:i/>
          <w:iCs/>
        </w:rPr>
        <w:t xml:space="preserve">p</w:t>
      </w:r>
      <w:r>
        <w:t xml:space="preserve"> </w:t>
      </w:r>
      <w:r>
        <w:t xml:space="preserve">for anything else.</w:t>
      </w:r>
    </w:p>
    <w:p>
      <w:pPr>
        <w:pStyle w:val="Compact"/>
        <w:numPr>
          <w:ilvl w:val="0"/>
          <w:numId w:val="1024"/>
        </w:numPr>
      </w:pPr>
      <w:r>
        <w:t xml:space="preserve">For</w:t>
      </w:r>
      <w:r>
        <w:t xml:space="preserve"> </w:t>
      </w:r>
      <w:r>
        <w:rPr>
          <w:i/>
          <w:iCs/>
        </w:rPr>
        <w:t xml:space="preserve">p</w:t>
      </w:r>
      <w:r>
        <w:t xml:space="preserve"> </w:t>
      </w:r>
      <w:r>
        <w:t xml:space="preserve">values above 0.10, round to two decimal places, at most.</w:t>
      </w:r>
    </w:p>
    <w:p>
      <w:pPr>
        <w:pStyle w:val="Compact"/>
        <w:numPr>
          <w:ilvl w:val="0"/>
          <w:numId w:val="1024"/>
        </w:numPr>
      </w:pPr>
      <w:r>
        <w:t xml:space="preserve">For</w:t>
      </w:r>
      <w:r>
        <w:t xml:space="preserve"> </w:t>
      </w:r>
      <w:r>
        <w:rPr>
          <w:i/>
          <w:iCs/>
        </w:rPr>
        <w:t xml:space="preserve">p</w:t>
      </w:r>
      <w:r>
        <w:t xml:space="preserve"> </w:t>
      </w:r>
      <w:r>
        <w:t xml:space="preserve">values near</w:t>
      </w:r>
      <w:r>
        <w:t xml:space="preserve"> </w:t>
      </w:r>
      <m:oMath>
        <m:r>
          <m:t>α</m:t>
        </m:r>
      </m:oMath>
      <w:r>
        <w:t xml:space="preserve">, include only enough decimal places to clarify the reject/retain decision.</w:t>
      </w:r>
    </w:p>
    <w:p>
      <w:pPr>
        <w:pStyle w:val="Compact"/>
        <w:numPr>
          <w:ilvl w:val="0"/>
          <w:numId w:val="1024"/>
        </w:numPr>
      </w:pPr>
      <w:r>
        <w:t xml:space="preserve">For very small</w:t>
      </w:r>
      <w:r>
        <w:t xml:space="preserve"> </w:t>
      </w:r>
      <w:r>
        <w:rPr>
          <w:i/>
          <w:iCs/>
        </w:rPr>
        <w:t xml:space="preserve">p</w:t>
      </w:r>
      <w:r>
        <w:t xml:space="preserve"> </w:t>
      </w:r>
      <w:r>
        <w:t xml:space="preserve">values, always report either</w:t>
      </w:r>
      <w:r>
        <w:t xml:space="preserve"> </w:t>
      </w:r>
      <w:r>
        <w:rPr>
          <w:i/>
          <w:iCs/>
        </w:rPr>
        <w:t xml:space="preserve">p</w:t>
      </w:r>
      <w:r>
        <w:t xml:space="preserve"> </w:t>
      </w:r>
      <w:r>
        <w:t xml:space="preserve">&lt; 0.0001 or even just</w:t>
      </w:r>
      <w:r>
        <w:t xml:space="preserve"> </w:t>
      </w:r>
      <w:r>
        <w:rPr>
          <w:i/>
          <w:iCs/>
        </w:rPr>
        <w:t xml:space="preserve">p</w:t>
      </w:r>
      <w:r>
        <w:t xml:space="preserve"> </w:t>
      </w:r>
      <w:r>
        <w:t xml:space="preserve">&lt; 0.001, rather than specifying the result in scientific notation, or, worse, as</w:t>
      </w:r>
      <w:r>
        <w:t xml:space="preserve"> </w:t>
      </w:r>
      <m:oMath>
        <m:r>
          <m:t>p</m:t>
        </m:r>
        <m:r>
          <m:rPr>
            <m:sty m:val="p"/>
          </m:rPr>
          <m:t>=</m:t>
        </m:r>
        <m:r>
          <m:t>0</m:t>
        </m:r>
      </m:oMath>
      <w:r>
        <w:t xml:space="preserve"> </w:t>
      </w:r>
      <w:r>
        <w:t xml:space="preserve">which is glaringly inappropriate.</w:t>
      </w:r>
    </w:p>
    <w:p>
      <w:pPr>
        <w:pStyle w:val="Compact"/>
        <w:numPr>
          <w:ilvl w:val="0"/>
          <w:numId w:val="1024"/>
        </w:numPr>
      </w:pPr>
      <w:r>
        <w:t xml:space="preserve">Report</w:t>
      </w:r>
      <w:r>
        <w:t xml:space="preserve"> </w:t>
      </w:r>
      <w:r>
        <w:rPr>
          <w:i/>
          <w:iCs/>
        </w:rPr>
        <w:t xml:space="preserve">p</w:t>
      </w:r>
      <w:r>
        <w:t xml:space="preserve"> </w:t>
      </w:r>
      <w:r>
        <w:t xml:space="preserve">values above 0.99 as</w:t>
      </w:r>
      <w:r>
        <w:t xml:space="preserve"> </w:t>
      </w:r>
      <w:r>
        <w:rPr>
          <w:i/>
          <w:iCs/>
        </w:rPr>
        <w:t xml:space="preserve">p</w:t>
      </w:r>
      <w:r>
        <w:t xml:space="preserve"> </w:t>
      </w:r>
      <w:r>
        <w:t xml:space="preserve">&gt; 0.99, rather than</w:t>
      </w:r>
      <w:r>
        <w:t xml:space="preserve"> </w:t>
      </w:r>
      <w:r>
        <w:rPr>
          <w:i/>
          <w:iCs/>
        </w:rPr>
        <w:t xml:space="preserve">p</w:t>
      </w:r>
      <w:r>
        <w:t xml:space="preserve"> </w:t>
      </w:r>
      <w:r>
        <w:t xml:space="preserve">= 1.</w:t>
      </w:r>
    </w:p>
    <w:bookmarkEnd w:id="63"/>
    <w:bookmarkStart w:id="64" w:name="what-i-taught-for-many-years"/>
    <w:p>
      <w:pPr>
        <w:pStyle w:val="Heading2"/>
      </w:pPr>
      <w:r>
        <w:t xml:space="preserve">What I Taught for Many Years</w:t>
      </w:r>
    </w:p>
    <w:p>
      <w:pPr>
        <w:pStyle w:val="Compact"/>
        <w:numPr>
          <w:ilvl w:val="0"/>
          <w:numId w:val="1025"/>
        </w:numPr>
      </w:pPr>
      <w:r>
        <w:t xml:space="preserve">Null hypothesis significance testing is here to stay.</w:t>
      </w:r>
    </w:p>
    <w:p>
      <w:pPr>
        <w:pStyle w:val="Compact"/>
        <w:numPr>
          <w:ilvl w:val="1"/>
          <w:numId w:val="1026"/>
        </w:numPr>
      </w:pPr>
      <w:r>
        <w:t xml:space="preserve">Learn how to present your p value so it looks like what everyone else does</w:t>
      </w:r>
    </w:p>
    <w:p>
      <w:pPr>
        <w:pStyle w:val="Compact"/>
        <w:numPr>
          <w:ilvl w:val="1"/>
          <w:numId w:val="1026"/>
        </w:numPr>
      </w:pPr>
      <w:r>
        <w:t xml:space="preserve">Think about</w:t>
      </w:r>
      <w:r>
        <w:t xml:space="preserve"> </w:t>
      </w:r>
      <w:r>
        <w:t xml:space="preserve">“</w:t>
      </w:r>
      <w:r>
        <w:t xml:space="preserve">statistically detectable</w:t>
      </w:r>
      <w:r>
        <w:t xml:space="preserve">”</w:t>
      </w:r>
      <w:r>
        <w:t xml:space="preserve"> </w:t>
      </w:r>
      <w:r>
        <w:t xml:space="preserve">rather than</w:t>
      </w:r>
      <w:r>
        <w:t xml:space="preserve"> </w:t>
      </w:r>
      <w:r>
        <w:t xml:space="preserve">“</w:t>
      </w:r>
      <w:r>
        <w:t xml:space="preserve">statistically significant</w:t>
      </w:r>
      <w:r>
        <w:t xml:space="preserve">”</w:t>
      </w:r>
    </w:p>
    <w:p>
      <w:pPr>
        <w:pStyle w:val="Compact"/>
        <w:numPr>
          <w:ilvl w:val="1"/>
          <w:numId w:val="1026"/>
        </w:numPr>
      </w:pPr>
      <w:r>
        <w:t xml:space="preserve">Don’t accept a null hypothesis, just retain it.</w:t>
      </w:r>
    </w:p>
    <w:p>
      <w:pPr>
        <w:pStyle w:val="Compact"/>
        <w:numPr>
          <w:ilvl w:val="0"/>
          <w:numId w:val="1025"/>
        </w:numPr>
      </w:pPr>
      <w:r>
        <w:t xml:space="preserve">Use point</w:t>
      </w:r>
      <w:r>
        <w:t xml:space="preserve"> </w:t>
      </w:r>
      <w:r>
        <w:rPr>
          <w:b/>
          <w:bCs/>
        </w:rPr>
        <w:t xml:space="preserve">and</w:t>
      </w:r>
      <w:r>
        <w:t xml:space="preserve"> </w:t>
      </w:r>
      <w:r>
        <w:t xml:space="preserve">interval estimates</w:t>
      </w:r>
    </w:p>
    <w:p>
      <w:pPr>
        <w:pStyle w:val="Compact"/>
        <w:numPr>
          <w:ilvl w:val="1"/>
          <w:numId w:val="1027"/>
        </w:numPr>
      </w:pPr>
      <w:r>
        <w:t xml:space="preserve">Try to get your statements about confidence intervals right (right = just like I said it)</w:t>
      </w:r>
    </w:p>
    <w:p>
      <w:pPr>
        <w:pStyle w:val="Compact"/>
        <w:numPr>
          <w:ilvl w:val="0"/>
          <w:numId w:val="1025"/>
        </w:numPr>
      </w:pPr>
      <w:r>
        <w:t xml:space="preserve">Use Bayesian approaches/simulation/hierarchical models when they seem appropriate or for</w:t>
      </w:r>
      <w:r>
        <w:t xml:space="preserve"> </w:t>
      </w:r>
      <w:r>
        <w:t xml:space="preserve">“</w:t>
      </w:r>
      <w:r>
        <w:t xml:space="preserve">non-standard</w:t>
      </w:r>
      <w:r>
        <w:t xml:space="preserve">”</w:t>
      </w:r>
      <w:r>
        <w:t xml:space="preserve"> </w:t>
      </w:r>
      <w:r>
        <w:t xml:space="preserve">designs</w:t>
      </w:r>
    </w:p>
    <w:p>
      <w:pPr>
        <w:pStyle w:val="Compact"/>
        <w:numPr>
          <w:ilvl w:val="1"/>
          <w:numId w:val="1028"/>
        </w:numPr>
      </w:pPr>
      <w:r>
        <w:t xml:space="preserve">But look elsewhere for people to teach/do that stuff</w:t>
      </w:r>
    </w:p>
    <w:p>
      <w:pPr>
        <w:pStyle w:val="Compact"/>
        <w:numPr>
          <w:ilvl w:val="0"/>
          <w:numId w:val="1025"/>
        </w:numPr>
      </w:pPr>
      <w:r>
        <w:t xml:space="preserve">Power is basically a hurdle to overcome in a grant application</w:t>
      </w:r>
    </w:p>
    <w:bookmarkEnd w:id="64"/>
    <w:bookmarkStart w:id="65" w:name="X94bc70545876f05d7a2cf8802cfe42bb34f7b7e"/>
    <w:p>
      <w:pPr>
        <w:pStyle w:val="Heading2"/>
      </w:pPr>
      <w:r>
        <w:t xml:space="preserve">From George Cobb - on why</w:t>
      </w:r>
      <w:r>
        <w:t xml:space="preserve"> </w:t>
      </w:r>
      <w:r>
        <w:rPr>
          <w:i/>
          <w:iCs/>
        </w:rPr>
        <w:t xml:space="preserve">p</w:t>
      </w:r>
      <w:r>
        <w:t xml:space="preserve"> </w:t>
      </w:r>
      <w:r>
        <w:t xml:space="preserve">values deserve to be re-evaluated</w:t>
      </w:r>
    </w:p>
    <w:p>
      <w:pPr>
        <w:pStyle w:val="FirstParagraph"/>
      </w:pPr>
      <w:r>
        <w:t xml:space="preserve">The</w:t>
      </w:r>
      <w:r>
        <w:t xml:space="preserve"> </w:t>
      </w:r>
      <w:r>
        <w:rPr>
          <w:b/>
          <w:bCs/>
        </w:rPr>
        <w:t xml:space="preserve">idea</w:t>
      </w:r>
      <w:r>
        <w:t xml:space="preserve"> </w:t>
      </w:r>
      <w:r>
        <w:t xml:space="preserve">of a p-value as one possible summary of evidence</w:t>
      </w:r>
    </w:p>
    <w:p>
      <w:pPr>
        <w:pStyle w:val="BodyText"/>
      </w:pPr>
      <w:r>
        <w:t xml:space="preserve">morphed into a</w:t>
      </w:r>
    </w:p>
    <w:p>
      <w:pPr>
        <w:pStyle w:val="Compact"/>
        <w:numPr>
          <w:ilvl w:val="0"/>
          <w:numId w:val="1029"/>
        </w:numPr>
      </w:pPr>
      <w:r>
        <w:rPr>
          <w:b/>
          <w:bCs/>
        </w:rPr>
        <w:t xml:space="preserve">rule</w:t>
      </w:r>
      <w:r>
        <w:t xml:space="preserve"> </w:t>
      </w:r>
      <w:r>
        <w:t xml:space="preserve">for authors: reject the null hypothesis if p &lt; .05.</w:t>
      </w:r>
    </w:p>
    <w:bookmarkEnd w:id="65"/>
    <w:bookmarkStart w:id="66" w:name="Xc9883488a20630e98ebab4d6ad3d448843d2465"/>
    <w:p>
      <w:pPr>
        <w:pStyle w:val="Heading2"/>
      </w:pPr>
      <w:r>
        <w:t xml:space="preserve">From George Cobb - on why</w:t>
      </w:r>
      <w:r>
        <w:t xml:space="preserve"> </w:t>
      </w:r>
      <w:r>
        <w:rPr>
          <w:i/>
          <w:iCs/>
        </w:rPr>
        <w:t xml:space="preserve">p</w:t>
      </w:r>
      <w:r>
        <w:t xml:space="preserve"> </w:t>
      </w:r>
      <w:r>
        <w:t xml:space="preserve">values deserve to be re-evaluated</w:t>
      </w:r>
    </w:p>
    <w:p>
      <w:pPr>
        <w:pStyle w:val="FirstParagraph"/>
      </w:pPr>
      <w:r>
        <w:t xml:space="preserve">The</w:t>
      </w:r>
      <w:r>
        <w:t xml:space="preserve"> </w:t>
      </w:r>
      <w:r>
        <w:rPr>
          <w:b/>
          <w:bCs/>
        </w:rPr>
        <w:t xml:space="preserve">idea</w:t>
      </w:r>
      <w:r>
        <w:t xml:space="preserve"> </w:t>
      </w:r>
      <w:r>
        <w:t xml:space="preserve">of a p-value as one possible summary of evidence</w:t>
      </w:r>
    </w:p>
    <w:p>
      <w:pPr>
        <w:pStyle w:val="BodyText"/>
      </w:pPr>
      <w:r>
        <w:t xml:space="preserve">morphed into a</w:t>
      </w:r>
    </w:p>
    <w:p>
      <w:pPr>
        <w:pStyle w:val="Compact"/>
        <w:numPr>
          <w:ilvl w:val="0"/>
          <w:numId w:val="1030"/>
        </w:numPr>
      </w:pPr>
      <w:r>
        <w:rPr>
          <w:b/>
          <w:bCs/>
        </w:rPr>
        <w:t xml:space="preserve">rule</w:t>
      </w:r>
      <w:r>
        <w:t xml:space="preserve"> </w:t>
      </w:r>
      <w:r>
        <w:t xml:space="preserve">for authors: reject the null hypothesis if p &lt; .05,</w:t>
      </w:r>
    </w:p>
    <w:p>
      <w:pPr>
        <w:pStyle w:val="FirstParagraph"/>
      </w:pPr>
      <w:r>
        <w:t xml:space="preserve">which morphed into a</w:t>
      </w:r>
    </w:p>
    <w:p>
      <w:pPr>
        <w:pStyle w:val="Compact"/>
        <w:numPr>
          <w:ilvl w:val="0"/>
          <w:numId w:val="1031"/>
        </w:numPr>
      </w:pPr>
      <w:r>
        <w:rPr>
          <w:b/>
          <w:bCs/>
        </w:rPr>
        <w:t xml:space="preserve">rule</w:t>
      </w:r>
      <w:r>
        <w:t xml:space="preserve"> </w:t>
      </w:r>
      <w:r>
        <w:t xml:space="preserve">for editors: reject the submitted article if p &gt; .05.</w:t>
      </w:r>
    </w:p>
    <w:bookmarkEnd w:id="66"/>
    <w:bookmarkStart w:id="67" w:name="X001612231da015ccc38e22053ed4480a21ec475"/>
    <w:p>
      <w:pPr>
        <w:pStyle w:val="Heading2"/>
      </w:pPr>
      <w:r>
        <w:t xml:space="preserve">From George Cobb - on why</w:t>
      </w:r>
      <w:r>
        <w:t xml:space="preserve"> </w:t>
      </w:r>
      <w:r>
        <w:rPr>
          <w:i/>
          <w:iCs/>
        </w:rPr>
        <w:t xml:space="preserve">p</w:t>
      </w:r>
      <w:r>
        <w:t xml:space="preserve"> </w:t>
      </w:r>
      <w:r>
        <w:t xml:space="preserve">values deserve to be re-evaluated</w:t>
      </w:r>
    </w:p>
    <w:p>
      <w:pPr>
        <w:pStyle w:val="FirstParagraph"/>
      </w:pPr>
      <w:r>
        <w:t xml:space="preserve">The</w:t>
      </w:r>
      <w:r>
        <w:t xml:space="preserve"> </w:t>
      </w:r>
      <w:r>
        <w:rPr>
          <w:b/>
          <w:bCs/>
        </w:rPr>
        <w:t xml:space="preserve">idea</w:t>
      </w:r>
      <w:r>
        <w:t xml:space="preserve"> </w:t>
      </w:r>
      <w:r>
        <w:t xml:space="preserve">of a p-value as one possible summary of evidence</w:t>
      </w:r>
    </w:p>
    <w:p>
      <w:pPr>
        <w:pStyle w:val="BodyText"/>
      </w:pPr>
      <w:r>
        <w:t xml:space="preserve">morphed into a</w:t>
      </w:r>
    </w:p>
    <w:p>
      <w:pPr>
        <w:pStyle w:val="Compact"/>
        <w:numPr>
          <w:ilvl w:val="0"/>
          <w:numId w:val="1032"/>
        </w:numPr>
      </w:pPr>
      <w:r>
        <w:rPr>
          <w:b/>
          <w:bCs/>
        </w:rPr>
        <w:t xml:space="preserve">rule</w:t>
      </w:r>
      <w:r>
        <w:t xml:space="preserve"> </w:t>
      </w:r>
      <w:r>
        <w:t xml:space="preserve">for authors: reject the null hypothesis if p &lt; .05,</w:t>
      </w:r>
    </w:p>
    <w:p>
      <w:pPr>
        <w:pStyle w:val="FirstParagraph"/>
      </w:pPr>
      <w:r>
        <w:t xml:space="preserve">which morphed into a</w:t>
      </w:r>
    </w:p>
    <w:p>
      <w:pPr>
        <w:pStyle w:val="Compact"/>
        <w:numPr>
          <w:ilvl w:val="0"/>
          <w:numId w:val="1033"/>
        </w:numPr>
      </w:pPr>
      <w:r>
        <w:rPr>
          <w:b/>
          <w:bCs/>
        </w:rPr>
        <w:t xml:space="preserve">rule</w:t>
      </w:r>
      <w:r>
        <w:t xml:space="preserve"> </w:t>
      </w:r>
      <w:r>
        <w:t xml:space="preserve">for editors: reject the submitted article if p &gt; .05,</w:t>
      </w:r>
    </w:p>
    <w:p>
      <w:pPr>
        <w:pStyle w:val="FirstParagraph"/>
      </w:pPr>
      <w:r>
        <w:t xml:space="preserve">which morphed into a</w:t>
      </w:r>
    </w:p>
    <w:p>
      <w:pPr>
        <w:pStyle w:val="Compact"/>
        <w:numPr>
          <w:ilvl w:val="0"/>
          <w:numId w:val="1034"/>
        </w:numPr>
      </w:pPr>
      <w:r>
        <w:rPr>
          <w:b/>
          <w:bCs/>
        </w:rPr>
        <w:t xml:space="preserve">rule</w:t>
      </w:r>
      <w:r>
        <w:t xml:space="preserve"> </w:t>
      </w:r>
      <w:r>
        <w:t xml:space="preserve">for journals: reject all articles that report p-values</w:t>
      </w:r>
    </w:p>
    <w:bookmarkEnd w:id="67"/>
    <w:bookmarkStart w:id="71" w:name="Xdd6e47d9b0622df1c4d6973b09ed1eb4619f821"/>
    <w:p>
      <w:pPr>
        <w:pStyle w:val="Heading2"/>
      </w:pPr>
      <w:r>
        <w:t xml:space="preserve">From George Cobb - on why</w:t>
      </w:r>
      <w:r>
        <w:t xml:space="preserve"> </w:t>
      </w:r>
      <w:r>
        <w:rPr>
          <w:i/>
          <w:iCs/>
        </w:rPr>
        <w:t xml:space="preserve">p</w:t>
      </w:r>
      <w:r>
        <w:t xml:space="preserve"> </w:t>
      </w:r>
      <w:r>
        <w:t xml:space="preserve">values deserve to be re-evaluated</w:t>
      </w:r>
    </w:p>
    <w:p>
      <w:pPr>
        <w:pStyle w:val="FirstParagraph"/>
      </w:pPr>
      <w:r>
        <w:t xml:space="preserve">The</w:t>
      </w:r>
      <w:r>
        <w:t xml:space="preserve"> </w:t>
      </w:r>
      <w:r>
        <w:rPr>
          <w:b/>
          <w:bCs/>
        </w:rPr>
        <w:t xml:space="preserve">idea</w:t>
      </w:r>
      <w:r>
        <w:t xml:space="preserve"> </w:t>
      </w:r>
      <w:r>
        <w:t xml:space="preserve">of a p-value as one possible summary of evidence</w:t>
      </w:r>
    </w:p>
    <w:p>
      <w:pPr>
        <w:pStyle w:val="BodyText"/>
      </w:pPr>
      <w:r>
        <w:t xml:space="preserve">morphed into a</w:t>
      </w:r>
    </w:p>
    <w:p>
      <w:pPr>
        <w:numPr>
          <w:ilvl w:val="0"/>
          <w:numId w:val="1035"/>
        </w:numPr>
      </w:pPr>
      <w:r>
        <w:rPr>
          <w:b/>
          <w:bCs/>
        </w:rPr>
        <w:t xml:space="preserve">rule</w:t>
      </w:r>
      <w:r>
        <w:t xml:space="preserve"> </w:t>
      </w:r>
      <w:r>
        <w:t xml:space="preserve">for authors: reject the null hypothesis if p &lt; .05, which morphed into a</w:t>
      </w:r>
    </w:p>
    <w:p>
      <w:pPr>
        <w:numPr>
          <w:ilvl w:val="0"/>
          <w:numId w:val="1035"/>
        </w:numPr>
      </w:pPr>
      <w:r>
        <w:rPr>
          <w:b/>
          <w:bCs/>
        </w:rPr>
        <w:t xml:space="preserve">rule</w:t>
      </w:r>
      <w:r>
        <w:t xml:space="preserve"> </w:t>
      </w:r>
      <w:r>
        <w:t xml:space="preserve">for editors: reject the submitted article if p &gt; .05, which morphed into a</w:t>
      </w:r>
    </w:p>
    <w:p>
      <w:pPr>
        <w:numPr>
          <w:ilvl w:val="0"/>
          <w:numId w:val="1035"/>
        </w:numPr>
      </w:pPr>
      <w:r>
        <w:rPr>
          <w:b/>
          <w:bCs/>
        </w:rPr>
        <w:t xml:space="preserve">rule</w:t>
      </w:r>
      <w:r>
        <w:t xml:space="preserve"> </w:t>
      </w:r>
      <w:r>
        <w:t xml:space="preserve">for journals: reject all articles that report p-values.</w:t>
      </w:r>
    </w:p>
    <w:p>
      <w:pPr>
        <w:pStyle w:val="FirstParagraph"/>
      </w:pPr>
      <w:r>
        <w:t xml:space="preserve">Bottom line:</w:t>
      </w:r>
      <w:r>
        <w:t xml:space="preserve"> </w:t>
      </w:r>
      <w:r>
        <w:rPr>
          <w:b/>
          <w:bCs/>
        </w:rPr>
        <w:t xml:space="preserve">Reject rules. Ideas matter.</w:t>
      </w:r>
    </w:p>
    <w:p>
      <w:r>
        <w:pict>
          <v:rect style="width:0;height:1.5pt" o:hralign="center" o:hrstd="t" o:hr="t"/>
        </w:pict>
      </w:r>
    </w:p>
    <w:p>
      <w:pPr>
        <w:pStyle w:val="FirstParagraph"/>
      </w:pPr>
      <w:r>
        <w:drawing>
          <wp:inline>
            <wp:extent cx="4389120" cy="4620126"/>
            <wp:effectExtent b="0" l="0" r="0" t="0"/>
            <wp:docPr descr="" title="" id="69" name="Picture"/>
            <a:graphic>
              <a:graphicData uri="http://schemas.openxmlformats.org/drawingml/2006/picture">
                <pic:pic>
                  <pic:nvPicPr>
                    <pic:cNvPr descr="c13/images/bear.png" id="70" name="Picture"/>
                    <pic:cNvPicPr>
                      <a:picLocks noChangeArrowheads="1" noChangeAspect="1"/>
                    </pic:cNvPicPr>
                  </pic:nvPicPr>
                  <pic:blipFill>
                    <a:blip r:embed="rId68"/>
                    <a:stretch>
                      <a:fillRect/>
                    </a:stretch>
                  </pic:blipFill>
                  <pic:spPr bwMode="auto">
                    <a:xfrm>
                      <a:off x="0" y="0"/>
                      <a:ext cx="4389120" cy="4620126"/>
                    </a:xfrm>
                    <a:prstGeom prst="rect">
                      <a:avLst/>
                    </a:prstGeom>
                    <a:noFill/>
                    <a:ln w="9525">
                      <a:noFill/>
                      <a:headEnd/>
                      <a:tailEnd/>
                    </a:ln>
                  </pic:spPr>
                </pic:pic>
              </a:graphicData>
            </a:graphic>
          </wp:inline>
        </w:drawing>
      </w:r>
    </w:p>
    <w:bookmarkEnd w:id="71"/>
    <w:bookmarkEnd w:id="72"/>
    <w:bookmarkStart w:id="99" w:name="Xb54527af77f29f420d45289a31486a935e6ff9d"/>
    <w:p>
      <w:pPr>
        <w:pStyle w:val="Heading1"/>
      </w:pPr>
      <w:r>
        <w:t xml:space="preserve">American Statistical Association to the rescue!?!</w:t>
      </w:r>
    </w:p>
    <w:bookmarkStart w:id="77" w:name="the-american-statistical-association"/>
    <w:p>
      <w:pPr>
        <w:pStyle w:val="Heading2"/>
      </w:pPr>
      <w:r>
        <w:t xml:space="preserve">The American Statistical Association</w:t>
      </w:r>
    </w:p>
    <w:p>
      <w:pPr>
        <w:pStyle w:val="FirstParagraph"/>
      </w:pPr>
      <w:r>
        <w:t xml:space="preserve">2016</w:t>
      </w:r>
    </w:p>
    <w:p>
      <w:pPr>
        <w:pStyle w:val="Compact"/>
        <w:numPr>
          <w:ilvl w:val="0"/>
          <w:numId w:val="1036"/>
        </w:numPr>
      </w:pPr>
      <w:r>
        <w:t xml:space="preserve">Ronald L. Wasserstein &amp; Nicole A. Lazar (2016)</w:t>
      </w:r>
      <w:r>
        <w:t xml:space="preserve"> </w:t>
      </w:r>
      <w:hyperlink r:id="rId73">
        <w:r>
          <w:rPr>
            <w:rStyle w:val="Hyperlink"/>
          </w:rPr>
          <w:t xml:space="preserve">The ASA’s Statement on p-Values: Context, Process, and Purpose</w:t>
        </w:r>
      </w:hyperlink>
      <w:r>
        <w:t xml:space="preserve">,</w:t>
      </w:r>
      <w:r>
        <w:t xml:space="preserve"> </w:t>
      </w:r>
      <w:r>
        <w:rPr>
          <w:i/>
          <w:iCs/>
        </w:rPr>
        <w:t xml:space="preserve">The American Statistician</w:t>
      </w:r>
      <w:r>
        <w:t xml:space="preserve">, 70:2, 129-133, DOI:</w:t>
      </w:r>
      <w:r>
        <w:t xml:space="preserve"> </w:t>
      </w:r>
      <w:hyperlink r:id="rId74">
        <w:r>
          <w:rPr>
            <w:rStyle w:val="Hyperlink"/>
          </w:rPr>
          <w:t xml:space="preserve">10.1080/00031305.2016.1154108</w:t>
        </w:r>
      </w:hyperlink>
    </w:p>
    <w:p>
      <w:pPr>
        <w:pStyle w:val="FirstParagraph"/>
      </w:pPr>
      <w:r>
        <w:t xml:space="preserve">2019</w:t>
      </w:r>
    </w:p>
    <w:p>
      <w:pPr>
        <w:pStyle w:val="Compact"/>
        <w:numPr>
          <w:ilvl w:val="0"/>
          <w:numId w:val="1037"/>
        </w:numPr>
      </w:pPr>
      <w:r>
        <w:t xml:space="preserve">Ronald L. Wasserstein, Allen L. Schirm &amp; Nicole A. Lazar (2019)</w:t>
      </w:r>
      <w:r>
        <w:t xml:space="preserve"> </w:t>
      </w:r>
      <w:hyperlink r:id="rId75">
        <w:r>
          <w:rPr>
            <w:rStyle w:val="Hyperlink"/>
          </w:rPr>
          <w:t xml:space="preserve">Moving to a World Beyond</w:t>
        </w:r>
        <w:r>
          <w:rPr>
            <w:rStyle w:val="Hyperlink"/>
          </w:rPr>
          <w:t xml:space="preserve"> </w:t>
        </w:r>
        <w:r>
          <w:rPr>
            <w:rStyle w:val="Hyperlink"/>
          </w:rPr>
          <w:t xml:space="preserve">“</w:t>
        </w:r>
        <w:r>
          <w:rPr>
            <w:rStyle w:val="Hyperlink"/>
          </w:rPr>
          <w:t xml:space="preserve">p &lt; 0.05</w:t>
        </w:r>
        <w:r>
          <w:rPr>
            <w:rStyle w:val="Hyperlink"/>
          </w:rPr>
          <w:t xml:space="preserve">”</w:t>
        </w:r>
      </w:hyperlink>
      <w:r>
        <w:t xml:space="preserve">,</w:t>
      </w:r>
      <w:r>
        <w:t xml:space="preserve"> </w:t>
      </w:r>
      <w:r>
        <w:rPr>
          <w:i/>
          <w:iCs/>
        </w:rPr>
        <w:t xml:space="preserve">The American Statistician</w:t>
      </w:r>
      <w:r>
        <w:t xml:space="preserve">, 73:sup1, 1-19, DOI:</w:t>
      </w:r>
      <w:r>
        <w:t xml:space="preserve"> </w:t>
      </w:r>
      <w:hyperlink r:id="rId76">
        <w:r>
          <w:rPr>
            <w:rStyle w:val="Hyperlink"/>
          </w:rPr>
          <w:t xml:space="preserve">10.1080/00031305.2019.1583913</w:t>
        </w:r>
      </w:hyperlink>
      <w:r>
        <w:t xml:space="preserve">.</w:t>
      </w:r>
    </w:p>
    <w:bookmarkEnd w:id="77"/>
    <w:bookmarkStart w:id="78" w:name="Xc6a6d099c1ccbd305e186d148c89d816a4f2e93"/>
    <w:p>
      <w:pPr>
        <w:pStyle w:val="Heading2"/>
      </w:pPr>
      <w:r>
        <w:t xml:space="preserve">Statistical Inference in the 21st Century</w:t>
      </w:r>
    </w:p>
    <w:p>
      <w:pPr>
        <w:pStyle w:val="BlockText"/>
      </w:pPr>
      <w:r>
        <w:t xml:space="preserve">… a world learning to venture beyond</w:t>
      </w:r>
      <w:r>
        <w:t xml:space="preserve"> </w:t>
      </w:r>
      <w:r>
        <w:t xml:space="preserve">“</w:t>
      </w:r>
      <w:r>
        <w:t xml:space="preserve">p &lt; 0.05</w:t>
      </w:r>
      <w:r>
        <w:t xml:space="preserve">”</w:t>
      </w:r>
    </w:p>
    <w:p>
      <w:pPr>
        <w:pStyle w:val="BlockText"/>
      </w:pPr>
      <w:r>
        <w:t xml:space="preserve">This is a world where researchers are free to treat</w:t>
      </w:r>
      <w:r>
        <w:t xml:space="preserve"> </w:t>
      </w:r>
      <w:r>
        <w:t xml:space="preserve">“</w:t>
      </w:r>
      <w:r>
        <w:t xml:space="preserve">p = 0.051</w:t>
      </w:r>
      <w:r>
        <w:t xml:space="preserve">”</w:t>
      </w:r>
      <w:r>
        <w:t xml:space="preserve"> </w:t>
      </w:r>
      <w:r>
        <w:t xml:space="preserve">and</w:t>
      </w:r>
      <w:r>
        <w:t xml:space="preserve"> </w:t>
      </w:r>
      <w:r>
        <w:t xml:space="preserve">“</w:t>
      </w:r>
      <w:r>
        <w:t xml:space="preserve">p = 0.049</w:t>
      </w:r>
      <w:r>
        <w:t xml:space="preserve">”</w:t>
      </w:r>
      <w:r>
        <w:t xml:space="preserve"> </w:t>
      </w:r>
      <w:r>
        <w:t xml:space="preserve">as not being categorically different, where authors no longer find themselves constrained to selectively publish their results based on a single magic number.</w:t>
      </w:r>
    </w:p>
    <w:bookmarkEnd w:id="78"/>
    <w:bookmarkStart w:id="79" w:name="Xca11c8a6e3a8e2dfd3ee605facc7e011fbf0e1b"/>
    <w:p>
      <w:pPr>
        <w:pStyle w:val="Heading2"/>
      </w:pPr>
      <w:r>
        <w:t xml:space="preserve">Statistical Inference in the 21st Century</w:t>
      </w:r>
    </w:p>
    <w:p>
      <w:pPr>
        <w:pStyle w:val="BlockText"/>
      </w:pPr>
      <w:r>
        <w:t xml:space="preserve">In this world, where studies with</w:t>
      </w:r>
      <w:r>
        <w:t xml:space="preserve"> </w:t>
      </w:r>
      <w:r>
        <w:t xml:space="preserve">“</w:t>
      </w:r>
      <w:r>
        <w:t xml:space="preserve">p &lt; 0.05</w:t>
      </w:r>
      <w:r>
        <w:t xml:space="preserve">”</w:t>
      </w:r>
      <w:r>
        <w:t xml:space="preserve"> </w:t>
      </w:r>
      <w:r>
        <w:t xml:space="preserve">and studies with</w:t>
      </w:r>
      <w:r>
        <w:t xml:space="preserve"> </w:t>
      </w:r>
      <w:r>
        <w:t xml:space="preserve">“</w:t>
      </w:r>
      <w:r>
        <w:t xml:space="preserve">p &gt; 0.05</w:t>
      </w:r>
      <w:r>
        <w:t xml:space="preserve">”</w:t>
      </w:r>
      <w:r>
        <w:t xml:space="preserve"> </w:t>
      </w:r>
      <w:r>
        <w:t xml:space="preserve">are not automatically in conflict, researchers will see their results more easily replicated – and, even when not, they will better understand why.</w:t>
      </w:r>
    </w:p>
    <w:p>
      <w:pPr>
        <w:pStyle w:val="BlockText"/>
      </w:pPr>
      <w:r>
        <w:t xml:space="preserve">The 2016 ASA Statement on P-Values and Statistical Significance started moving us toward this world. As of the date of publication of this special issue, the statement has been viewed over 294,000 times and cited over 1700 times-an average of about 11 citations per week since its release. Now we must go further.</w:t>
      </w:r>
    </w:p>
    <w:bookmarkEnd w:id="79"/>
    <w:bookmarkStart w:id="80" w:name="Xb1b9a21613ceb911c6b06e4fde5fca336be618a"/>
    <w:p>
      <w:pPr>
        <w:pStyle w:val="Heading2"/>
      </w:pPr>
      <w:r>
        <w:t xml:space="preserve">The American Statistical Association Statement on P values and Statistical Significance</w:t>
      </w:r>
    </w:p>
    <w:p>
      <w:pPr>
        <w:pStyle w:val="FirstParagraph"/>
      </w:pPr>
      <w:r>
        <w:t xml:space="preserve">The ASA Statement (2016) was mostly about what</w:t>
      </w:r>
      <w:r>
        <w:t xml:space="preserve"> </w:t>
      </w:r>
      <w:r>
        <w:rPr>
          <w:b/>
          <w:bCs/>
        </w:rPr>
        <w:t xml:space="preserve">not</w:t>
      </w:r>
      <w:r>
        <w:t xml:space="preserve"> </w:t>
      </w:r>
      <w:r>
        <w:t xml:space="preserve">to do.</w:t>
      </w:r>
    </w:p>
    <w:p>
      <w:pPr>
        <w:pStyle w:val="BodyText"/>
      </w:pPr>
      <w:r>
        <w:t xml:space="preserve">The 2019 effort represents an attempt to explain what to do.</w:t>
      </w:r>
    </w:p>
    <w:bookmarkEnd w:id="80"/>
    <w:bookmarkStart w:id="81" w:name="asa-2019-statement"/>
    <w:p>
      <w:pPr>
        <w:pStyle w:val="Heading2"/>
      </w:pPr>
      <w:r>
        <w:t xml:space="preserve">ASA 2019 Statement</w:t>
      </w:r>
    </w:p>
    <w:p>
      <w:pPr>
        <w:pStyle w:val="BlockText"/>
      </w:pPr>
      <w:r>
        <w:t xml:space="preserve">Some of you exploring this special issue of The American Statistician might be wondering if it’s a scolding from pedantic statisticians lecturing you about what not to dowith p-values, without</w:t>
      </w:r>
      <w:r>
        <w:t xml:space="preserve"> </w:t>
      </w:r>
      <w:r>
        <w:t xml:space="preserve">offering any real ideas of what to do about the very hard problem of separating signal from noise in data and making decisions under uncertainty. Fear not. In this issue, thanks to 43 innovative</w:t>
      </w:r>
      <w:r>
        <w:t xml:space="preserve"> </w:t>
      </w:r>
      <w:r>
        <w:t xml:space="preserve">and thought-provoking papers from forward-looking statisticians, help is on the way.</w:t>
      </w:r>
    </w:p>
    <w:bookmarkEnd w:id="81"/>
    <w:bookmarkStart w:id="82" w:name="dont-is-not-enough."/>
    <w:p>
      <w:pPr>
        <w:pStyle w:val="Heading2"/>
      </w:pPr>
      <w:r>
        <w:t xml:space="preserve">“</w:t>
      </w:r>
      <w:r>
        <w:t xml:space="preserve">Don’t</w:t>
      </w:r>
      <w:r>
        <w:t xml:space="preserve">”</w:t>
      </w:r>
      <w:r>
        <w:t xml:space="preserve"> </w:t>
      </w:r>
      <w:r>
        <w:t xml:space="preserve">is not enough.</w:t>
      </w:r>
    </w:p>
    <w:p>
      <w:pPr>
        <w:pStyle w:val="BlockText"/>
      </w:pPr>
      <w:r>
        <w:t xml:space="preserve">If you’re just arriving to the debate, here’s a sampling of what not to do.</w:t>
      </w:r>
    </w:p>
    <w:p>
      <w:pPr>
        <w:pStyle w:val="Compact"/>
        <w:numPr>
          <w:ilvl w:val="0"/>
          <w:numId w:val="1038"/>
        </w:numPr>
      </w:pPr>
      <w:r>
        <w:t xml:space="preserve">Don’t base your conclusions solely on whether an association or effect was found to be</w:t>
      </w:r>
      <w:r>
        <w:t xml:space="preserve"> </w:t>
      </w:r>
      <w:r>
        <w:t xml:space="preserve">“</w:t>
      </w:r>
      <w:r>
        <w:t xml:space="preserve">statistically significant</w:t>
      </w:r>
      <w:r>
        <w:t xml:space="preserve">”</w:t>
      </w:r>
      <w:r>
        <w:t xml:space="preserve"> </w:t>
      </w:r>
      <w:r>
        <w:t xml:space="preserve">(i.e., the</w:t>
      </w:r>
      <w:r>
        <w:t xml:space="preserve"> </w:t>
      </w:r>
      <w:r>
        <w:rPr>
          <w:i/>
          <w:iCs/>
        </w:rPr>
        <w:t xml:space="preserve">p</w:t>
      </w:r>
      <w:r>
        <w:t xml:space="preserve"> </w:t>
      </w:r>
      <w:r>
        <w:t xml:space="preserve">value passed some arbitrary threshold such as p &lt; 0.05).</w:t>
      </w:r>
    </w:p>
    <w:p>
      <w:pPr>
        <w:pStyle w:val="Compact"/>
        <w:numPr>
          <w:ilvl w:val="0"/>
          <w:numId w:val="1038"/>
        </w:numPr>
      </w:pPr>
      <w:r>
        <w:t xml:space="preserve">Don’t believe that an association or effect exists just because it was statistically significant.</w:t>
      </w:r>
    </w:p>
    <w:bookmarkEnd w:id="82"/>
    <w:bookmarkStart w:id="83" w:name="dont-is-not-enough.-1"/>
    <w:p>
      <w:pPr>
        <w:pStyle w:val="Heading2"/>
      </w:pPr>
      <w:r>
        <w:t xml:space="preserve">“</w:t>
      </w:r>
      <w:r>
        <w:t xml:space="preserve">Don’t</w:t>
      </w:r>
      <w:r>
        <w:t xml:space="preserve">”</w:t>
      </w:r>
      <w:r>
        <w:t xml:space="preserve"> </w:t>
      </w:r>
      <w:r>
        <w:t xml:space="preserve">is not enough.</w:t>
      </w:r>
    </w:p>
    <w:p>
      <w:pPr>
        <w:pStyle w:val="Compact"/>
        <w:numPr>
          <w:ilvl w:val="0"/>
          <w:numId w:val="1039"/>
        </w:numPr>
      </w:pPr>
      <w:r>
        <w:t xml:space="preserve">Don’t believe that an association or effect is absent just because it was not statistically significant.</w:t>
      </w:r>
    </w:p>
    <w:p>
      <w:pPr>
        <w:pStyle w:val="Compact"/>
        <w:numPr>
          <w:ilvl w:val="0"/>
          <w:numId w:val="1039"/>
        </w:numPr>
      </w:pPr>
      <w:r>
        <w:t xml:space="preserve">Don’t believe that your p-value gives the probability that chance alone produced the observed association or effect or the probability that your test hypothesis is true.</w:t>
      </w:r>
    </w:p>
    <w:p>
      <w:pPr>
        <w:pStyle w:val="Compact"/>
        <w:numPr>
          <w:ilvl w:val="0"/>
          <w:numId w:val="1039"/>
        </w:numPr>
      </w:pPr>
      <w:r>
        <w:t xml:space="preserve">Don’t conclude anything about scientific or practical importance based on statistical significance (or lack thereof).</w:t>
      </w:r>
    </w:p>
    <w:bookmarkEnd w:id="83"/>
    <w:bookmarkStart w:id="85" w:name="problems-with-p-values"/>
    <w:p>
      <w:pPr>
        <w:pStyle w:val="Heading2"/>
      </w:pPr>
      <w:r>
        <w:t xml:space="preserve">Problems with</w:t>
      </w:r>
      <w:r>
        <w:t xml:space="preserve"> </w:t>
      </w:r>
      <w:r>
        <w:rPr>
          <w:i/>
          <w:iCs/>
        </w:rPr>
        <w:t xml:space="preserve">p</w:t>
      </w:r>
      <w:r>
        <w:t xml:space="preserve"> </w:t>
      </w:r>
      <w:r>
        <w:t xml:space="preserve">Values</w:t>
      </w:r>
    </w:p>
    <w:p>
      <w:pPr>
        <w:pStyle w:val="Compact"/>
        <w:numPr>
          <w:ilvl w:val="0"/>
          <w:numId w:val="1040"/>
        </w:numPr>
      </w:pPr>
      <w:r>
        <w:rPr>
          <w:i/>
          <w:iCs/>
        </w:rPr>
        <w:t xml:space="preserve">P</w:t>
      </w:r>
      <w:r>
        <w:t xml:space="preserve"> </w:t>
      </w:r>
      <w:r>
        <w:t xml:space="preserve">values are inherently unstable</w:t>
      </w:r>
    </w:p>
    <w:p>
      <w:pPr>
        <w:pStyle w:val="Compact"/>
        <w:numPr>
          <w:ilvl w:val="0"/>
          <w:numId w:val="1040"/>
        </w:numPr>
      </w:pPr>
      <w:r>
        <w:t xml:space="preserve">The</w:t>
      </w:r>
      <w:r>
        <w:t xml:space="preserve"> </w:t>
      </w:r>
      <w:r>
        <w:rPr>
          <w:i/>
          <w:iCs/>
        </w:rPr>
        <w:t xml:space="preserve">p</w:t>
      </w:r>
      <w:r>
        <w:t xml:space="preserve"> </w:t>
      </w:r>
      <w:r>
        <w:t xml:space="preserve">value, or statistical significance, does not measure the size of an effect or the importance of a result</w:t>
      </w:r>
    </w:p>
    <w:p>
      <w:pPr>
        <w:pStyle w:val="Compact"/>
        <w:numPr>
          <w:ilvl w:val="0"/>
          <w:numId w:val="1040"/>
        </w:numPr>
      </w:pPr>
      <w:r>
        <w:t xml:space="preserve">Scientific conclusions should not be based only on whether a</w:t>
      </w:r>
      <w:r>
        <w:t xml:space="preserve"> </w:t>
      </w:r>
      <w:r>
        <w:rPr>
          <w:i/>
          <w:iCs/>
        </w:rPr>
        <w:t xml:space="preserve">p</w:t>
      </w:r>
      <w:r>
        <w:t xml:space="preserve"> </w:t>
      </w:r>
      <w:r>
        <w:t xml:space="preserve">value passes a specific threshold</w:t>
      </w:r>
    </w:p>
    <w:p>
      <w:pPr>
        <w:pStyle w:val="Compact"/>
        <w:numPr>
          <w:ilvl w:val="0"/>
          <w:numId w:val="1040"/>
        </w:numPr>
      </w:pPr>
      <w:r>
        <w:t xml:space="preserve">Proper inference requires full reporting and transparency</w:t>
      </w:r>
    </w:p>
    <w:p>
      <w:pPr>
        <w:pStyle w:val="Compact"/>
        <w:numPr>
          <w:ilvl w:val="0"/>
          <w:numId w:val="1040"/>
        </w:numPr>
      </w:pPr>
      <w:r>
        <w:t xml:space="preserve">By itself, a</w:t>
      </w:r>
      <w:r>
        <w:t xml:space="preserve"> </w:t>
      </w:r>
      <w:r>
        <w:rPr>
          <w:i/>
          <w:iCs/>
        </w:rPr>
        <w:t xml:space="preserve">p</w:t>
      </w:r>
      <w:r>
        <w:t xml:space="preserve"> </w:t>
      </w:r>
      <w:r>
        <w:t xml:space="preserve">value does not provide a good measure of evidence regarding a model or hypothesis</w:t>
      </w:r>
    </w:p>
    <w:p>
      <w:pPr>
        <w:pStyle w:val="FirstParagraph"/>
      </w:pPr>
      <w:hyperlink r:id="rId84">
        <w:r>
          <w:rPr>
            <w:rStyle w:val="Hyperlink"/>
          </w:rPr>
          <w:t xml:space="preserve">http://jamanetwork.com/journals/jamaotolaryngology/fullarticle/2546529</w:t>
        </w:r>
      </w:hyperlink>
    </w:p>
    <w:bookmarkEnd w:id="85"/>
    <w:bookmarkStart w:id="89" w:name="one-more-dont"/>
    <w:p>
      <w:pPr>
        <w:pStyle w:val="Heading2"/>
      </w:pPr>
      <w:r>
        <w:t xml:space="preserve">One More Don’t…</w:t>
      </w:r>
    </w:p>
    <w:p>
      <w:pPr>
        <w:pStyle w:val="FirstParagraph"/>
      </w:pPr>
      <w:r>
        <w:drawing>
          <wp:inline>
            <wp:extent cx="5334000" cy="2805906"/>
            <wp:effectExtent b="0" l="0" r="0" t="0"/>
            <wp:docPr descr="" title="" id="87" name="Picture"/>
            <a:graphic>
              <a:graphicData uri="http://schemas.openxmlformats.org/drawingml/2006/picture">
                <pic:pic>
                  <pic:nvPicPr>
                    <pic:cNvPr descr="c13/images/ASA2019_1.png" id="88" name="Picture"/>
                    <pic:cNvPicPr>
                      <a:picLocks noChangeArrowheads="1" noChangeAspect="1"/>
                    </pic:cNvPicPr>
                  </pic:nvPicPr>
                  <pic:blipFill>
                    <a:blip r:embed="rId86"/>
                    <a:stretch>
                      <a:fillRect/>
                    </a:stretch>
                  </pic:blipFill>
                  <pic:spPr bwMode="auto">
                    <a:xfrm>
                      <a:off x="0" y="0"/>
                      <a:ext cx="5334000" cy="2805906"/>
                    </a:xfrm>
                    <a:prstGeom prst="rect">
                      <a:avLst/>
                    </a:prstGeom>
                    <a:noFill/>
                    <a:ln w="9525">
                      <a:noFill/>
                      <a:headEnd/>
                      <a:tailEnd/>
                    </a:ln>
                  </pic:spPr>
                </pic:pic>
              </a:graphicData>
            </a:graphic>
          </wp:inline>
        </w:drawing>
      </w:r>
    </w:p>
    <w:p>
      <w:pPr>
        <w:pStyle w:val="BlockText"/>
      </w:pPr>
      <w:r>
        <w:t xml:space="preserve">A label of statistical significance adds nothing to what is already conveyed by the value of</w:t>
      </w:r>
      <w:r>
        <w:t xml:space="preserve"> </w:t>
      </w:r>
      <w:r>
        <w:rPr>
          <w:i/>
          <w:iCs/>
        </w:rPr>
        <w:t xml:space="preserve">p</w:t>
      </w:r>
      <w:r>
        <w:t xml:space="preserve">; in fact, this dichotomization of</w:t>
      </w:r>
      <w:r>
        <w:t xml:space="preserve"> </w:t>
      </w:r>
      <w:r>
        <w:rPr>
          <w:i/>
          <w:iCs/>
        </w:rPr>
        <w:t xml:space="preserve">p</w:t>
      </w:r>
      <w:r>
        <w:t xml:space="preserve">-values makes matters worse.</w:t>
      </w:r>
    </w:p>
    <w:bookmarkEnd w:id="89"/>
    <w:bookmarkStart w:id="90" w:name="gelman-on-p-values-1"/>
    <w:p>
      <w:pPr>
        <w:pStyle w:val="Heading2"/>
      </w:pPr>
      <w:r>
        <w:t xml:space="preserve">Gelman on</w:t>
      </w:r>
      <w:r>
        <w:t xml:space="preserve"> </w:t>
      </w:r>
      <w:r>
        <w:rPr>
          <w:i/>
          <w:iCs/>
        </w:rPr>
        <w:t xml:space="preserve">p</w:t>
      </w:r>
      <w:r>
        <w:t xml:space="preserve"> </w:t>
      </w:r>
      <w:r>
        <w:t xml:space="preserve">values, 1</w:t>
      </w:r>
    </w:p>
    <w:p>
      <w:pPr>
        <w:pStyle w:val="BlockText"/>
      </w:pPr>
      <w:r>
        <w:t xml:space="preserve">The common practice of dividing data comparisons into categories based on significance levels is terrible, but it happens all the time…. so it’s worth examining the prevalence of this error. Consider, for example, this division:</w:t>
      </w:r>
    </w:p>
    <w:p>
      <w:pPr>
        <w:pStyle w:val="Compact"/>
        <w:numPr>
          <w:ilvl w:val="0"/>
          <w:numId w:val="1041"/>
        </w:numPr>
      </w:pPr>
      <w:r>
        <w:t xml:space="preserve">“</w:t>
      </w:r>
      <w:r>
        <w:t xml:space="preserve">really significant</w:t>
      </w:r>
      <w:r>
        <w:t xml:space="preserve">”</w:t>
      </w:r>
      <w:r>
        <w:t xml:space="preserve"> </w:t>
      </w:r>
      <w:r>
        <w:t xml:space="preserve">for</w:t>
      </w:r>
      <w:r>
        <w:t xml:space="preserve"> </w:t>
      </w:r>
      <w:r>
        <w:rPr>
          <w:i/>
          <w:iCs/>
        </w:rPr>
        <w:t xml:space="preserve">p</w:t>
      </w:r>
      <w:r>
        <w:t xml:space="preserve"> </w:t>
      </w:r>
      <w:r>
        <w:t xml:space="preserve">&lt; .01,</w:t>
      </w:r>
    </w:p>
    <w:p>
      <w:pPr>
        <w:pStyle w:val="Compact"/>
        <w:numPr>
          <w:ilvl w:val="0"/>
          <w:numId w:val="1041"/>
        </w:numPr>
      </w:pPr>
      <w:r>
        <w:t xml:space="preserve">“</w:t>
      </w:r>
      <w:r>
        <w:t xml:space="preserve">significant</w:t>
      </w:r>
      <w:r>
        <w:t xml:space="preserve">”</w:t>
      </w:r>
      <w:r>
        <w:t xml:space="preserve"> </w:t>
      </w:r>
      <w:r>
        <w:t xml:space="preserve">for</w:t>
      </w:r>
      <w:r>
        <w:t xml:space="preserve"> </w:t>
      </w:r>
      <w:r>
        <w:rPr>
          <w:i/>
          <w:iCs/>
        </w:rPr>
        <w:t xml:space="preserve">p</w:t>
      </w:r>
      <w:r>
        <w:t xml:space="preserve"> </w:t>
      </w:r>
      <w:r>
        <w:t xml:space="preserve">&lt; .05,</w:t>
      </w:r>
    </w:p>
    <w:p>
      <w:pPr>
        <w:pStyle w:val="Compact"/>
        <w:numPr>
          <w:ilvl w:val="0"/>
          <w:numId w:val="1041"/>
        </w:numPr>
      </w:pPr>
      <w:r>
        <w:t xml:space="preserve">“</w:t>
      </w:r>
      <w:r>
        <w:t xml:space="preserve">marginally significant</w:t>
      </w:r>
      <w:r>
        <w:t xml:space="preserve">”</w:t>
      </w:r>
      <w:r>
        <w:t xml:space="preserve"> </w:t>
      </w:r>
      <w:r>
        <w:t xml:space="preserve">for</w:t>
      </w:r>
      <w:r>
        <w:t xml:space="preserve"> </w:t>
      </w:r>
      <w:r>
        <w:rPr>
          <w:i/>
          <w:iCs/>
        </w:rPr>
        <w:t xml:space="preserve">p</w:t>
      </w:r>
      <w:r>
        <w:t xml:space="preserve"> </w:t>
      </w:r>
      <w:r>
        <w:t xml:space="preserve">&lt; .1, and</w:t>
      </w:r>
    </w:p>
    <w:p>
      <w:pPr>
        <w:pStyle w:val="Compact"/>
        <w:numPr>
          <w:ilvl w:val="0"/>
          <w:numId w:val="1041"/>
        </w:numPr>
      </w:pPr>
      <w:r>
        <w:t xml:space="preserve">“</w:t>
      </w:r>
      <w:r>
        <w:t xml:space="preserve">not at all significant</w:t>
      </w:r>
      <w:r>
        <w:t xml:space="preserve">”</w:t>
      </w:r>
      <w:r>
        <w:t xml:space="preserve"> </w:t>
      </w:r>
      <w:r>
        <w:t xml:space="preserve">otherwise.</w:t>
      </w:r>
    </w:p>
    <w:bookmarkEnd w:id="90"/>
    <w:bookmarkStart w:id="91" w:name="gelman-on-p-values-2"/>
    <w:p>
      <w:pPr>
        <w:pStyle w:val="Heading2"/>
      </w:pPr>
      <w:r>
        <w:t xml:space="preserve">Gelman on</w:t>
      </w:r>
      <w:r>
        <w:t xml:space="preserve"> </w:t>
      </w:r>
      <w:r>
        <w:rPr>
          <w:i/>
          <w:iCs/>
        </w:rPr>
        <w:t xml:space="preserve">p</w:t>
      </w:r>
      <w:r>
        <w:t xml:space="preserve"> </w:t>
      </w:r>
      <w:r>
        <w:t xml:space="preserve">values, 2</w:t>
      </w:r>
    </w:p>
    <w:p>
      <w:pPr>
        <w:pStyle w:val="FirstParagraph"/>
      </w:pPr>
      <w:r>
        <w:t xml:space="preserve">Now consider some typical</w:t>
      </w:r>
      <w:r>
        <w:t xml:space="preserve"> </w:t>
      </w:r>
      <w:r>
        <w:rPr>
          <w:i/>
          <w:iCs/>
        </w:rPr>
        <w:t xml:space="preserve">p</w:t>
      </w:r>
      <w:r>
        <w:t xml:space="preserve">-values in these ranges: say,</w:t>
      </w:r>
      <w:r>
        <w:t xml:space="preserve"> </w:t>
      </w:r>
      <w:r>
        <w:rPr>
          <w:i/>
          <w:iCs/>
        </w:rPr>
        <w:t xml:space="preserve">p</w:t>
      </w:r>
      <w:r>
        <w:t xml:space="preserve"> </w:t>
      </w:r>
      <w:r>
        <w:t xml:space="preserve">= .005,</w:t>
      </w:r>
      <w:r>
        <w:t xml:space="preserve"> </w:t>
      </w:r>
      <w:r>
        <w:rPr>
          <w:i/>
          <w:iCs/>
        </w:rPr>
        <w:t xml:space="preserve">p</w:t>
      </w:r>
      <w:r>
        <w:t xml:space="preserve"> </w:t>
      </w:r>
      <w:r>
        <w:t xml:space="preserve">= .03,</w:t>
      </w:r>
      <w:r>
        <w:t xml:space="preserve"> </w:t>
      </w:r>
      <w:r>
        <w:rPr>
          <w:i/>
          <w:iCs/>
        </w:rPr>
        <w:t xml:space="preserve">p</w:t>
      </w:r>
      <w:r>
        <w:t xml:space="preserve"> </w:t>
      </w:r>
      <w:r>
        <w:t xml:space="preserve">= .08, and</w:t>
      </w:r>
      <w:r>
        <w:t xml:space="preserve"> </w:t>
      </w:r>
      <w:r>
        <w:rPr>
          <w:i/>
          <w:iCs/>
        </w:rPr>
        <w:t xml:space="preserve">p</w:t>
      </w:r>
      <w:r>
        <w:t xml:space="preserve"> </w:t>
      </w:r>
      <w:r>
        <w:t xml:space="preserve">= .2.</w:t>
      </w:r>
    </w:p>
    <w:p>
      <w:pPr>
        <w:pStyle w:val="BodyText"/>
      </w:pPr>
      <w:r>
        <w:t xml:space="preserve">Translate these two-sided</w:t>
      </w:r>
      <w:r>
        <w:t xml:space="preserve"> </w:t>
      </w:r>
      <w:r>
        <w:rPr>
          <w:i/>
          <w:iCs/>
        </w:rPr>
        <w:t xml:space="preserve">p</w:t>
      </w:r>
      <w:r>
        <w:t xml:space="preserve">-values back into z-scores…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Description</w:t>
            </w:r>
          </w:p>
        </w:tc>
        <w:tc>
          <w:tcPr/>
          <w:p>
            <w:pPr>
              <w:pStyle w:val="Compact"/>
              <w:jc w:val="right"/>
            </w:pPr>
            <w:r>
              <w:t xml:space="preserve">really sig.</w:t>
            </w:r>
          </w:p>
        </w:tc>
        <w:tc>
          <w:tcPr/>
          <w:p>
            <w:pPr>
              <w:pStyle w:val="Compact"/>
              <w:jc w:val="right"/>
            </w:pPr>
            <w:r>
              <w:t xml:space="preserve">sig.</w:t>
            </w:r>
          </w:p>
        </w:tc>
        <w:tc>
          <w:tcPr/>
          <w:p>
            <w:pPr>
              <w:pStyle w:val="Compact"/>
              <w:jc w:val="right"/>
            </w:pPr>
            <w:r>
              <w:t xml:space="preserve">marginally sig.</w:t>
            </w:r>
          </w:p>
        </w:tc>
        <w:tc>
          <w:tcPr/>
          <w:p>
            <w:pPr>
              <w:pStyle w:val="Compact"/>
              <w:jc w:val="right"/>
            </w:pPr>
            <w:r>
              <w:t xml:space="preserve">not at all sig.</w:t>
            </w:r>
          </w:p>
        </w:tc>
      </w:tr>
      <w:tr>
        <w:tc>
          <w:tcPr/>
          <w:p>
            <w:pPr>
              <w:pStyle w:val="Compact"/>
              <w:jc w:val="right"/>
            </w:pPr>
            <w:r>
              <w:rPr>
                <w:i/>
                <w:iCs/>
              </w:rPr>
              <w:t xml:space="preserve">p</w:t>
            </w:r>
            <w:r>
              <w:t xml:space="preserve"> </w:t>
            </w:r>
            <w:r>
              <w:t xml:space="preserve">value</w:t>
            </w:r>
          </w:p>
        </w:tc>
        <w:tc>
          <w:tcPr/>
          <w:p>
            <w:pPr>
              <w:pStyle w:val="Compact"/>
              <w:jc w:val="right"/>
            </w:pPr>
            <w:r>
              <w:t xml:space="preserve">0.005</w:t>
            </w:r>
          </w:p>
        </w:tc>
        <w:tc>
          <w:tcPr/>
          <w:p>
            <w:pPr>
              <w:pStyle w:val="Compact"/>
              <w:jc w:val="right"/>
            </w:pPr>
            <w:r>
              <w:t xml:space="preserve">0.03</w:t>
            </w:r>
          </w:p>
        </w:tc>
        <w:tc>
          <w:tcPr/>
          <w:p>
            <w:pPr>
              <w:pStyle w:val="Compact"/>
              <w:jc w:val="right"/>
            </w:pPr>
            <w:r>
              <w:t xml:space="preserve">0.08</w:t>
            </w:r>
          </w:p>
        </w:tc>
        <w:tc>
          <w:tcPr/>
          <w:p>
            <w:pPr>
              <w:pStyle w:val="Compact"/>
              <w:jc w:val="right"/>
            </w:pPr>
            <w:r>
              <w:t xml:space="preserve">0.20</w:t>
            </w:r>
          </w:p>
        </w:tc>
      </w:tr>
      <w:tr>
        <w:tc>
          <w:tcPr/>
          <w:p>
            <w:pPr>
              <w:pStyle w:val="Compact"/>
              <w:jc w:val="right"/>
            </w:pPr>
            <w:r>
              <w:t xml:space="preserve">Z score</w:t>
            </w:r>
          </w:p>
        </w:tc>
        <w:tc>
          <w:tcPr/>
          <w:p>
            <w:pPr>
              <w:pStyle w:val="Compact"/>
              <w:jc w:val="right"/>
            </w:pPr>
            <w:r>
              <w:t xml:space="preserve">2.8</w:t>
            </w:r>
          </w:p>
        </w:tc>
        <w:tc>
          <w:tcPr/>
          <w:p>
            <w:pPr>
              <w:pStyle w:val="Compact"/>
              <w:jc w:val="right"/>
            </w:pPr>
            <w:r>
              <w:t xml:space="preserve">2.2</w:t>
            </w:r>
          </w:p>
        </w:tc>
        <w:tc>
          <w:tcPr/>
          <w:p>
            <w:pPr>
              <w:pStyle w:val="Compact"/>
              <w:jc w:val="right"/>
            </w:pPr>
            <w:r>
              <w:t xml:space="preserve">1.8</w:t>
            </w:r>
          </w:p>
        </w:tc>
        <w:tc>
          <w:tcPr/>
          <w:p>
            <w:pPr>
              <w:pStyle w:val="Compact"/>
              <w:jc w:val="right"/>
            </w:pPr>
            <w:r>
              <w:t xml:space="preserve">1.3</w:t>
            </w:r>
          </w:p>
        </w:tc>
      </w:tr>
    </w:tbl>
    <w:bookmarkEnd w:id="91"/>
    <w:bookmarkStart w:id="92" w:name="gelman-on-p-values-3"/>
    <w:p>
      <w:pPr>
        <w:pStyle w:val="Heading2"/>
      </w:pPr>
      <w:r>
        <w:t xml:space="preserve">Gelman on</w:t>
      </w:r>
      <w:r>
        <w:t xml:space="preserve"> </w:t>
      </w:r>
      <w:r>
        <w:rPr>
          <w:i/>
          <w:iCs/>
        </w:rPr>
        <w:t xml:space="preserve">p</w:t>
      </w:r>
      <w:r>
        <w:t xml:space="preserve"> </w:t>
      </w:r>
      <w:r>
        <w:t xml:space="preserve">values, 3</w:t>
      </w:r>
    </w:p>
    <w:p>
      <w:pPr>
        <w:pStyle w:val="FirstParagraph"/>
      </w:pPr>
      <w:r>
        <w:t xml:space="preserve">The seemingly yawning gap in p-values comparing the not at all significant</w:t>
      </w:r>
      <w:r>
        <w:t xml:space="preserve"> </w:t>
      </w:r>
      <w:r>
        <w:rPr>
          <w:i/>
          <w:iCs/>
        </w:rPr>
        <w:t xml:space="preserve">p</w:t>
      </w:r>
      <w:r>
        <w:t xml:space="preserve">-value of .2 to the really significant</w:t>
      </w:r>
      <w:r>
        <w:t xml:space="preserve"> </w:t>
      </w:r>
      <w:r>
        <w:rPr>
          <w:i/>
          <w:iCs/>
        </w:rPr>
        <w:t xml:space="preserve">p</w:t>
      </w:r>
      <w:r>
        <w:t xml:space="preserve">-value of .005, is only a z score of 1.5.</w:t>
      </w:r>
    </w:p>
    <w:p>
      <w:pPr>
        <w:pStyle w:val="BodyText"/>
      </w:pPr>
      <w:r>
        <w:t xml:space="preserve">If you had two independent experiments with z-scores of 2.8 and 1.3 and with equal standard errors and you wanted to compare them, you’d get a difference of 1.5 with a standard error of 1.4, which is completely consistent with noise.</w:t>
      </w:r>
    </w:p>
    <w:bookmarkEnd w:id="92"/>
    <w:bookmarkStart w:id="93" w:name="gelman-on-p-values-4"/>
    <w:p>
      <w:pPr>
        <w:pStyle w:val="Heading2"/>
      </w:pPr>
      <w:r>
        <w:t xml:space="preserve">Gelman on</w:t>
      </w:r>
      <w:r>
        <w:t xml:space="preserve"> </w:t>
      </w:r>
      <w:r>
        <w:rPr>
          <w:i/>
          <w:iCs/>
        </w:rPr>
        <w:t xml:space="preserve">p</w:t>
      </w:r>
      <w:r>
        <w:t xml:space="preserve"> </w:t>
      </w:r>
      <w:r>
        <w:t xml:space="preserve">values, 4</w:t>
      </w:r>
    </w:p>
    <w:p>
      <w:pPr>
        <w:pStyle w:val="FirstParagraph"/>
      </w:pPr>
      <w:r>
        <w:t xml:space="preserve">From a</w:t>
      </w:r>
      <w:r>
        <w:t xml:space="preserve"> </w:t>
      </w:r>
      <w:r>
        <w:rPr>
          <w:b/>
          <w:bCs/>
        </w:rPr>
        <w:t xml:space="preserve">statistical</w:t>
      </w:r>
      <w:r>
        <w:t xml:space="preserve"> </w:t>
      </w:r>
      <w:r>
        <w:t xml:space="preserve">point of view, the trouble with using the p-value as a data summary is that the p-value can only be interpreted in the context of the null hypothesis of zero effect, and (much of the time), nobody’s interested in the null hypothesis.</w:t>
      </w:r>
    </w:p>
    <w:p>
      <w:pPr>
        <w:pStyle w:val="BodyText"/>
      </w:pPr>
      <w:r>
        <w:t xml:space="preserve">Indeed, once you see comparisons between large, marginal, and small effects, the null hypothesis is irrelevant, as you want to be comparing effect sizes.</w:t>
      </w:r>
    </w:p>
    <w:bookmarkEnd w:id="93"/>
    <w:bookmarkStart w:id="95" w:name="gelman-on-p-values-5"/>
    <w:p>
      <w:pPr>
        <w:pStyle w:val="Heading2"/>
      </w:pPr>
      <w:r>
        <w:t xml:space="preserve">Gelman on</w:t>
      </w:r>
      <w:r>
        <w:t xml:space="preserve"> </w:t>
      </w:r>
      <w:r>
        <w:rPr>
          <w:i/>
          <w:iCs/>
        </w:rPr>
        <w:t xml:space="preserve">p</w:t>
      </w:r>
      <w:r>
        <w:t xml:space="preserve"> </w:t>
      </w:r>
      <w:r>
        <w:t xml:space="preserve">values, 5</w:t>
      </w:r>
    </w:p>
    <w:p>
      <w:pPr>
        <w:pStyle w:val="FirstParagraph"/>
      </w:pPr>
      <w:r>
        <w:t xml:space="preserve">From a</w:t>
      </w:r>
      <w:r>
        <w:t xml:space="preserve"> </w:t>
      </w:r>
      <w:r>
        <w:rPr>
          <w:b/>
          <w:bCs/>
        </w:rPr>
        <w:t xml:space="preserve">psychological</w:t>
      </w:r>
      <w:r>
        <w:t xml:space="preserve"> </w:t>
      </w:r>
      <w:r>
        <w:t xml:space="preserve">point of view, the trouble with using the p-value as a data summary is that this is a kind of deterministic thinking, an attempt to convert real uncertainty into firm statements that are just not possible (or, as we would say now, just not replicable).</w:t>
      </w:r>
    </w:p>
    <w:p>
      <w:pPr>
        <w:pStyle w:val="BodyText"/>
      </w:pPr>
      <w:r>
        <w:rPr>
          <w:b/>
          <w:bCs/>
        </w:rPr>
        <w:t xml:space="preserve">The key point</w:t>
      </w:r>
      <w:r>
        <w:t xml:space="preserve">: The difference between statistically significant and NOT statistically significant is not, generally, statistically significant.</w:t>
      </w:r>
    </w:p>
    <w:p>
      <w:pPr>
        <w:pStyle w:val="BodyText"/>
      </w:pPr>
      <w:hyperlink r:id="rId94">
        <w:r>
          <w:rPr>
            <w:rStyle w:val="Hyperlink"/>
          </w:rPr>
          <w:t xml:space="preserve">http://andrewgelman.com/2016/10/15/marginally-significant-effects-as-evidence-for-hypotheses-changing-attitudes-over-four-decades/</w:t>
        </w:r>
      </w:hyperlink>
    </w:p>
    <w:bookmarkEnd w:id="95"/>
    <w:bookmarkStart w:id="96" w:name="so-what-is-the-problem"/>
    <w:p>
      <w:pPr>
        <w:pStyle w:val="Heading2"/>
      </w:pPr>
      <w:r>
        <w:t xml:space="preserve">So what is the problem?</w:t>
      </w:r>
    </w:p>
    <w:p>
      <w:pPr>
        <w:pStyle w:val="FirstParagraph"/>
      </w:pPr>
      <w:r>
        <w:t xml:space="preserve">If I have to boil it down to one thing, it’s not that p values or confidence intervals are inherently bad data summaries, although their interpretation is by no means straightforward.</w:t>
      </w:r>
    </w:p>
    <w:p>
      <w:pPr>
        <w:pStyle w:val="BodyText"/>
      </w:pPr>
      <w:r>
        <w:t xml:space="preserve">It’s that the whole notion of statistical significance is the problem.</w:t>
      </w:r>
    </w:p>
    <w:p>
      <w:pPr>
        <w:pStyle w:val="Compact"/>
        <w:numPr>
          <w:ilvl w:val="0"/>
          <w:numId w:val="1042"/>
        </w:numPr>
      </w:pPr>
      <w:r>
        <w:t xml:space="preserve">Working your data to provide a single</w:t>
      </w:r>
      <w:r>
        <w:t xml:space="preserve"> </w:t>
      </w:r>
      <w:r>
        <w:t xml:space="preserve">“</w:t>
      </w:r>
      <w:r>
        <w:t xml:space="preserve">yes/no</w:t>
      </w:r>
      <w:r>
        <w:t xml:space="preserve">”</w:t>
      </w:r>
      <w:r>
        <w:t xml:space="preserve"> </w:t>
      </w:r>
      <w:r>
        <w:t xml:space="preserve">answer instead of embracing its variation and understanding what the data suggest thoroughly is the problem.</w:t>
      </w:r>
    </w:p>
    <w:bookmarkEnd w:id="96"/>
    <w:bookmarkStart w:id="97" w:name="much-more-to-come"/>
    <w:p>
      <w:pPr>
        <w:pStyle w:val="Heading2"/>
      </w:pPr>
      <w:r>
        <w:t xml:space="preserve">Much more to come</w:t>
      </w:r>
    </w:p>
    <w:p>
      <w:pPr>
        <w:pStyle w:val="FirstParagraph"/>
      </w:pPr>
      <w:r>
        <w:t xml:space="preserve">next time…</w:t>
      </w:r>
    </w:p>
    <w:bookmarkEnd w:id="97"/>
    <w:bookmarkStart w:id="98" w:name="session-information"/>
    <w:p>
      <w:pPr>
        <w:pStyle w:val="Heading2"/>
      </w:pPr>
      <w:r>
        <w:t xml:space="preserve">Session Information</w:t>
      </w:r>
    </w:p>
    <w:p>
      <w:pPr>
        <w:pStyle w:val="SourceCode"/>
      </w:pPr>
      <w:r>
        <w:rPr>
          <w:rStyle w:val="NormalTok"/>
        </w:rPr>
        <w:t xml:space="preserve">xfun</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R version 4.4.1 (2024-06-14 ucrt)</w:t>
      </w:r>
      <w:r>
        <w:br/>
      </w:r>
      <w:r>
        <w:rPr>
          <w:rStyle w:val="VerbatimChar"/>
        </w:rPr>
        <w:t xml:space="preserve">Platform: x86_64-w64-mingw32/x64</w:t>
      </w:r>
      <w:r>
        <w:br/>
      </w:r>
      <w:r>
        <w:rPr>
          <w:rStyle w:val="VerbatimChar"/>
        </w:rPr>
        <w:t xml:space="preserve">Running under: Windows 11 x64 (build 22631)</w:t>
      </w:r>
      <w:r>
        <w:br/>
      </w:r>
      <w:r>
        <w:br/>
      </w:r>
      <w:r>
        <w:rPr>
          <w:rStyle w:val="VerbatimChar"/>
        </w:rPr>
        <w:t xml:space="preserve">Locale:</w:t>
      </w:r>
      <w:r>
        <w:br/>
      </w:r>
      <w:r>
        <w:rPr>
          <w:rStyle w:val="VerbatimChar"/>
        </w:rPr>
        <w:t xml:space="preserve">  LC_COLLATE=English_United States.utf8 </w:t>
      </w:r>
      <w:r>
        <w:br/>
      </w:r>
      <w:r>
        <w:rPr>
          <w:rStyle w:val="VerbatimChar"/>
        </w:rPr>
        <w:t xml:space="preserve">  LC_CTYPE=English_United States.utf8   </w:t>
      </w:r>
      <w:r>
        <w:br/>
      </w:r>
      <w:r>
        <w:rPr>
          <w:rStyle w:val="VerbatimChar"/>
        </w:rPr>
        <w:t xml:space="preserve">  LC_MONETARY=English_United States.utf8</w:t>
      </w:r>
      <w:r>
        <w:br/>
      </w:r>
      <w:r>
        <w:rPr>
          <w:rStyle w:val="VerbatimChar"/>
        </w:rPr>
        <w:t xml:space="preserve">  LC_NUMERIC=C                          </w:t>
      </w:r>
      <w:r>
        <w:br/>
      </w:r>
      <w:r>
        <w:rPr>
          <w:rStyle w:val="VerbatimChar"/>
        </w:rPr>
        <w:t xml:space="preserve">  LC_TIME=English_United States.utf8    </w:t>
      </w:r>
      <w:r>
        <w:br/>
      </w:r>
      <w:r>
        <w:br/>
      </w:r>
      <w:r>
        <w:rPr>
          <w:rStyle w:val="VerbatimChar"/>
        </w:rPr>
        <w:t xml:space="preserve">Package version:</w:t>
      </w:r>
      <w:r>
        <w:br/>
      </w:r>
      <w:r>
        <w:rPr>
          <w:rStyle w:val="VerbatimChar"/>
        </w:rPr>
        <w:t xml:space="preserve">  askpass_1.2.0          backports_1.5.0        base64enc_0.1.3       </w:t>
      </w:r>
      <w:r>
        <w:br/>
      </w:r>
      <w:r>
        <w:rPr>
          <w:rStyle w:val="VerbatimChar"/>
        </w:rPr>
        <w:t xml:space="preserve">  bayestestR_0.14.0      bit_4.0.5              bit64_4.0.5           </w:t>
      </w:r>
      <w:r>
        <w:br/>
      </w:r>
      <w:r>
        <w:rPr>
          <w:rStyle w:val="VerbatimChar"/>
        </w:rPr>
        <w:t xml:space="preserve">  blob_1.2.4             broom_1.0.6            bslib_0.8.0           </w:t>
      </w:r>
      <w:r>
        <w:br/>
      </w:r>
      <w:r>
        <w:rPr>
          <w:rStyle w:val="VerbatimChar"/>
        </w:rPr>
        <w:t xml:space="preserve">  cachem_1.1.0           callr_3.7.6            cellranger_1.1.0      </w:t>
      </w:r>
      <w:r>
        <w:br/>
      </w:r>
      <w:r>
        <w:rPr>
          <w:rStyle w:val="VerbatimChar"/>
        </w:rPr>
        <w:t xml:space="preserve">  cli_3.6.3              clipr_0.8.0            cmprsk_2.2-12         </w:t>
      </w:r>
      <w:r>
        <w:br/>
      </w:r>
      <w:r>
        <w:rPr>
          <w:rStyle w:val="VerbatimChar"/>
        </w:rPr>
        <w:t xml:space="preserve">  coda_0.19-4.1          codetools_0.2-20       colorspace_2.1-1      </w:t>
      </w:r>
      <w:r>
        <w:br/>
      </w:r>
      <w:r>
        <w:rPr>
          <w:rStyle w:val="VerbatimChar"/>
        </w:rPr>
        <w:t xml:space="preserve">  compiler_4.4.1         conflicted_1.2.0       correlation_0.8.5     </w:t>
      </w:r>
      <w:r>
        <w:br/>
      </w:r>
      <w:r>
        <w:rPr>
          <w:rStyle w:val="VerbatimChar"/>
        </w:rPr>
        <w:t xml:space="preserve">  cpp11_0.5.0            crayon_1.5.3           curl_5.2.2            </w:t>
      </w:r>
      <w:r>
        <w:br/>
      </w:r>
      <w:r>
        <w:rPr>
          <w:rStyle w:val="VerbatimChar"/>
        </w:rPr>
        <w:t xml:space="preserve">  data.table_1.16.0      datasets_4.4.1         datawizard_0.12.3     </w:t>
      </w:r>
      <w:r>
        <w:br/>
      </w:r>
      <w:r>
        <w:rPr>
          <w:rStyle w:val="VerbatimChar"/>
        </w:rPr>
        <w:t xml:space="preserve">  DBI_1.2.3              dbplyr_2.5.0           digest_0.6.37         </w:t>
      </w:r>
      <w:r>
        <w:br/>
      </w:r>
      <w:r>
        <w:rPr>
          <w:rStyle w:val="VerbatimChar"/>
        </w:rPr>
        <w:t xml:space="preserve">  dplyr_1.1.4            dtplyr_1.3.1           easystats_0.7.3       </w:t>
      </w:r>
      <w:r>
        <w:br/>
      </w:r>
      <w:r>
        <w:rPr>
          <w:rStyle w:val="VerbatimChar"/>
        </w:rPr>
        <w:t xml:space="preserve">  effectsize_0.8.9       emmeans_1.10.4         Epi_2.55              </w:t>
      </w:r>
      <w:r>
        <w:br/>
      </w:r>
      <w:r>
        <w:rPr>
          <w:rStyle w:val="VerbatimChar"/>
        </w:rPr>
        <w:t xml:space="preserve">  estimability_1.5.1     etm_1.1.1              evaluate_1.0.0        </w:t>
      </w:r>
      <w:r>
        <w:br/>
      </w:r>
      <w:r>
        <w:rPr>
          <w:rStyle w:val="VerbatimChar"/>
        </w:rPr>
        <w:t xml:space="preserve">  fansi_1.0.6            farver_2.1.2           fastmap_1.2.0         </w:t>
      </w:r>
      <w:r>
        <w:br/>
      </w:r>
      <w:r>
        <w:rPr>
          <w:rStyle w:val="VerbatimChar"/>
        </w:rPr>
        <w:t xml:space="preserve">  fontawesome_0.5.2      forcats_1.0.0          fs_1.6.4              </w:t>
      </w:r>
      <w:r>
        <w:br/>
      </w:r>
      <w:r>
        <w:rPr>
          <w:rStyle w:val="VerbatimChar"/>
        </w:rPr>
        <w:t xml:space="preserve">  gargle_1.5.2           generics_0.1.3         ggplot2_3.5.1         </w:t>
      </w:r>
      <w:r>
        <w:br/>
      </w:r>
      <w:r>
        <w:rPr>
          <w:rStyle w:val="VerbatimChar"/>
        </w:rPr>
        <w:t xml:space="preserve">  glue_1.7.0             googledrive_2.1.1      googlesheets4_1.1.1   </w:t>
      </w:r>
      <w:r>
        <w:br/>
      </w:r>
      <w:r>
        <w:rPr>
          <w:rStyle w:val="VerbatimChar"/>
        </w:rPr>
        <w:t xml:space="preserve">  graphics_4.4.1         grDevices_4.4.1        grid_4.4.1            </w:t>
      </w:r>
      <w:r>
        <w:br/>
      </w:r>
      <w:r>
        <w:rPr>
          <w:rStyle w:val="VerbatimChar"/>
        </w:rPr>
        <w:t xml:space="preserve">  gtable_0.3.5           haven_2.5.4            highr_0.11            </w:t>
      </w:r>
      <w:r>
        <w:br/>
      </w:r>
      <w:r>
        <w:rPr>
          <w:rStyle w:val="VerbatimChar"/>
        </w:rPr>
        <w:t xml:space="preserve">  hms_1.1.3              htmltools_0.5.8.1      httr_1.4.7            </w:t>
      </w:r>
      <w:r>
        <w:br/>
      </w:r>
      <w:r>
        <w:rPr>
          <w:rStyle w:val="VerbatimChar"/>
        </w:rPr>
        <w:t xml:space="preserve">  ids_1.0.1              insight_0.20.4         isoband_0.2.7         </w:t>
      </w:r>
      <w:r>
        <w:br/>
      </w:r>
      <w:r>
        <w:rPr>
          <w:rStyle w:val="VerbatimChar"/>
        </w:rPr>
        <w:t xml:space="preserve">  janitor_2.2.0          jquerylib_0.1.4        jsonlite_1.8.9        </w:t>
      </w:r>
      <w:r>
        <w:br/>
      </w:r>
      <w:r>
        <w:rPr>
          <w:rStyle w:val="VerbatimChar"/>
        </w:rPr>
        <w:t xml:space="preserve">  knitr_1.48             labeling_0.4.3         lattice_0.22-6        </w:t>
      </w:r>
      <w:r>
        <w:br/>
      </w:r>
      <w:r>
        <w:rPr>
          <w:rStyle w:val="VerbatimChar"/>
        </w:rPr>
        <w:t xml:space="preserve">  lifecycle_1.0.4        lubridate_1.9.3        magrittr_2.0.3        </w:t>
      </w:r>
      <w:r>
        <w:br/>
      </w:r>
      <w:r>
        <w:rPr>
          <w:rStyle w:val="VerbatimChar"/>
        </w:rPr>
        <w:t xml:space="preserve">  MASS_7.3-61            Matrix_1.7-0           memoise_2.0.1         </w:t>
      </w:r>
      <w:r>
        <w:br/>
      </w:r>
      <w:r>
        <w:rPr>
          <w:rStyle w:val="VerbatimChar"/>
        </w:rPr>
        <w:t xml:space="preserve">  methods_4.4.1          mgcv_1.9-1             mime_0.12             </w:t>
      </w:r>
      <w:r>
        <w:br/>
      </w:r>
      <w:r>
        <w:rPr>
          <w:rStyle w:val="VerbatimChar"/>
        </w:rPr>
        <w:t xml:space="preserve">  modelbased_0.8.8       modelr_0.1.11          multcomp_1.4-26       </w:t>
      </w:r>
      <w:r>
        <w:br/>
      </w:r>
      <w:r>
        <w:rPr>
          <w:rStyle w:val="VerbatimChar"/>
        </w:rPr>
        <w:t xml:space="preserve">  munsell_0.5.1          mvtnorm_1.3-1          nlme_3.1-164          </w:t>
      </w:r>
      <w:r>
        <w:br/>
      </w:r>
      <w:r>
        <w:rPr>
          <w:rStyle w:val="VerbatimChar"/>
        </w:rPr>
        <w:t xml:space="preserve">  numDeriv_2016.8-1.1    openssl_2.2.1          parallel_4.4.1        </w:t>
      </w:r>
      <w:r>
        <w:br/>
      </w:r>
      <w:r>
        <w:rPr>
          <w:rStyle w:val="VerbatimChar"/>
        </w:rPr>
        <w:t xml:space="preserve">  parameters_0.22.2      patchwork_1.3.0        performance_0.12.3    </w:t>
      </w:r>
      <w:r>
        <w:br/>
      </w:r>
      <w:r>
        <w:rPr>
          <w:rStyle w:val="VerbatimChar"/>
        </w:rPr>
        <w:t xml:space="preserve">  pillar_1.9.0           pkgconfig_2.0.3        plyr_1.8.9            </w:t>
      </w:r>
      <w:r>
        <w:br/>
      </w:r>
      <w:r>
        <w:rPr>
          <w:rStyle w:val="VerbatimChar"/>
        </w:rPr>
        <w:t xml:space="preserve">  prettyunits_1.2.0      processx_3.8.4         progress_1.2.3        </w:t>
      </w:r>
      <w:r>
        <w:br/>
      </w:r>
      <w:r>
        <w:rPr>
          <w:rStyle w:val="VerbatimChar"/>
        </w:rPr>
        <w:t xml:space="preserve">  ps_1.8.0               purrr_1.0.2            R6_2.5.1              </w:t>
      </w:r>
      <w:r>
        <w:br/>
      </w:r>
      <w:r>
        <w:rPr>
          <w:rStyle w:val="VerbatimChar"/>
        </w:rPr>
        <w:t xml:space="preserve">  ragg_1.3.2             rappdirs_0.3.3         RColorBrewer_1.1.3    </w:t>
      </w:r>
      <w:r>
        <w:br/>
      </w:r>
      <w:r>
        <w:rPr>
          <w:rStyle w:val="VerbatimChar"/>
        </w:rPr>
        <w:t xml:space="preserve">  Rcpp_1.0.13            RcppArmadillo_14.0.2.1 readr_2.1.5           </w:t>
      </w:r>
      <w:r>
        <w:br/>
      </w:r>
      <w:r>
        <w:rPr>
          <w:rStyle w:val="VerbatimChar"/>
        </w:rPr>
        <w:t xml:space="preserve">  readxl_1.4.3           rematch_2.0.0          rematch2_2.1.2        </w:t>
      </w:r>
      <w:r>
        <w:br/>
      </w:r>
      <w:r>
        <w:rPr>
          <w:rStyle w:val="VerbatimChar"/>
        </w:rPr>
        <w:t xml:space="preserve">  report_0.5.9           reprex_2.1.1           rlang_1.1.4           </w:t>
      </w:r>
      <w:r>
        <w:br/>
      </w:r>
      <w:r>
        <w:rPr>
          <w:rStyle w:val="VerbatimChar"/>
        </w:rPr>
        <w:t xml:space="preserve">  rmarkdown_2.28         rstudioapi_0.16.0      rvest_1.0.4           </w:t>
      </w:r>
      <w:r>
        <w:br/>
      </w:r>
      <w:r>
        <w:rPr>
          <w:rStyle w:val="VerbatimChar"/>
        </w:rPr>
        <w:t xml:space="preserve">  sandwich_3.1-1         sass_0.4.9             scales_1.3.0          </w:t>
      </w:r>
      <w:r>
        <w:br/>
      </w:r>
      <w:r>
        <w:rPr>
          <w:rStyle w:val="VerbatimChar"/>
        </w:rPr>
        <w:t xml:space="preserve">  see_0.9.0              selectr_0.4.2          snakecase_0.11.1      </w:t>
      </w:r>
      <w:r>
        <w:br/>
      </w:r>
      <w:r>
        <w:rPr>
          <w:rStyle w:val="VerbatimChar"/>
        </w:rPr>
        <w:t xml:space="preserve">  splines_4.4.1          stats_4.4.1            stringi_1.8.4         </w:t>
      </w:r>
      <w:r>
        <w:br/>
      </w:r>
      <w:r>
        <w:rPr>
          <w:rStyle w:val="VerbatimChar"/>
        </w:rPr>
        <w:t xml:space="preserve">  stringr_1.5.1          survival_3.7-0         sys_3.4.2             </w:t>
      </w:r>
      <w:r>
        <w:br/>
      </w:r>
      <w:r>
        <w:rPr>
          <w:rStyle w:val="VerbatimChar"/>
        </w:rPr>
        <w:t xml:space="preserve">  systemfonts_1.1.0      textshaping_0.4.0      TH.data_1.1-2         </w:t>
      </w:r>
      <w:r>
        <w:br/>
      </w:r>
      <w:r>
        <w:rPr>
          <w:rStyle w:val="VerbatimChar"/>
        </w:rPr>
        <w:t xml:space="preserve">  tibble_3.2.1           tidyr_1.3.1            tidyselect_1.2.1      </w:t>
      </w:r>
      <w:r>
        <w:br/>
      </w:r>
      <w:r>
        <w:rPr>
          <w:rStyle w:val="VerbatimChar"/>
        </w:rPr>
        <w:t xml:space="preserve">  tidyverse_2.0.0        timechange_0.3.0       tinytex_0.53          </w:t>
      </w:r>
      <w:r>
        <w:br/>
      </w:r>
      <w:r>
        <w:rPr>
          <w:rStyle w:val="VerbatimChar"/>
        </w:rPr>
        <w:t xml:space="preserve">  tools_4.4.1            tzdb_0.4.0             utf8_1.2.4            </w:t>
      </w:r>
      <w:r>
        <w:br/>
      </w:r>
      <w:r>
        <w:rPr>
          <w:rStyle w:val="VerbatimChar"/>
        </w:rPr>
        <w:t xml:space="preserve">  utils_4.4.1            uuid_1.2.1             vctrs_0.6.5           </w:t>
      </w:r>
      <w:r>
        <w:br/>
      </w:r>
      <w:r>
        <w:rPr>
          <w:rStyle w:val="VerbatimChar"/>
        </w:rPr>
        <w:t xml:space="preserve">  viridisLite_0.4.2      vroom_1.6.5            withr_3.0.1           </w:t>
      </w:r>
      <w:r>
        <w:br/>
      </w:r>
      <w:r>
        <w:rPr>
          <w:rStyle w:val="VerbatimChar"/>
        </w:rPr>
        <w:t xml:space="preserve">  xfun_0.47              xml2_1.3.6             xtable_1.8-4          </w:t>
      </w:r>
      <w:r>
        <w:br/>
      </w:r>
      <w:r>
        <w:rPr>
          <w:rStyle w:val="VerbatimChar"/>
        </w:rPr>
        <w:t xml:space="preserve">  yaml_2.3.10            zoo_1.8-12            </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68" Target="media/rId68.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hyperlink" Id="rId94" Target="http://andrewgelman.com/2016/10/15/marginally-significant-effects-as-evidence-for-hypotheses-changing-attitudes-over-four-decades/" TargetMode="External" /><Relationship Type="http://schemas.openxmlformats.org/officeDocument/2006/relationships/hyperlink" Id="rId84" Target="http://jamanetwork.com/journals/jamaotolaryngology/fullarticle/2546529" TargetMode="External" /><Relationship Type="http://schemas.openxmlformats.org/officeDocument/2006/relationships/hyperlink" Id="rId74" Target="https://doi.org/10.1080/00031305.2016.1154108" TargetMode="External" /><Relationship Type="http://schemas.openxmlformats.org/officeDocument/2006/relationships/hyperlink" Id="rId76" Target="https://doi.org/10.1080/00031305.2019.1583913" TargetMode="External" /><Relationship Type="http://schemas.openxmlformats.org/officeDocument/2006/relationships/hyperlink" Id="rId73" Target="https://www.tandfonline.com/doi/full/10.1080/00031305.2016.1154108" TargetMode="External" /><Relationship Type="http://schemas.openxmlformats.org/officeDocument/2006/relationships/hyperlink" Id="rId75" Target="https://www.tandfonline.com/doi/full/10.1080/00031305.2019.1583913" TargetMode="External" /></Relationships>
</file>

<file path=word/_rels/footnotes.xml.rels><?xml version="1.0" encoding="UTF-8"?><Relationships xmlns="http://schemas.openxmlformats.org/package/2006/relationships"><Relationship Type="http://schemas.openxmlformats.org/officeDocument/2006/relationships/hyperlink" Id="rId94" Target="http://andrewgelman.com/2016/10/15/marginally-significant-effects-as-evidence-for-hypotheses-changing-attitudes-over-four-decades/" TargetMode="External" /><Relationship Type="http://schemas.openxmlformats.org/officeDocument/2006/relationships/hyperlink" Id="rId84" Target="http://jamanetwork.com/journals/jamaotolaryngology/fullarticle/2546529" TargetMode="External" /><Relationship Type="http://schemas.openxmlformats.org/officeDocument/2006/relationships/hyperlink" Id="rId74" Target="https://doi.org/10.1080/00031305.2016.1154108" TargetMode="External" /><Relationship Type="http://schemas.openxmlformats.org/officeDocument/2006/relationships/hyperlink" Id="rId76" Target="https://doi.org/10.1080/00031305.2019.1583913" TargetMode="External" /><Relationship Type="http://schemas.openxmlformats.org/officeDocument/2006/relationships/hyperlink" Id="rId73" Target="https://www.tandfonline.com/doi/full/10.1080/00031305.2016.1154108" TargetMode="External" /><Relationship Type="http://schemas.openxmlformats.org/officeDocument/2006/relationships/hyperlink" Id="rId75" Target="https://www.tandfonline.com/doi/full/10.1080/00031305.2019.15839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 Class 13</dc:title>
  <dc:creator>https://thomaselove.github.io/431-2024/</dc:creator>
  <cp:keywords/>
  <dcterms:created xsi:type="dcterms:W3CDTF">2024-10-07T15:09:24Z</dcterms:created>
  <dcterms:modified xsi:type="dcterms:W3CDTF">2024-10-07T15:09:24Z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2024-10-08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