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Technical Reference Manual for the Full-Spatial Median-Free-Liquid Photonic bit(s) Transfer Module 276,480-bit analog/digital Computer Processor Architecture.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Friday, April 3rd 2020.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Draft number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Dr. Thomas Catalano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&lt;tomcatalano@outlook.com&gt;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working draft will outline the full-spatial 276,480-bit computer processor architecture with the newly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designed median-free-liquid via photonic bit transfer module processor computer system 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design, engineering and programming.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Diversity in technology: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we continued into the 21st century yearning for seamless interconnectivity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quasi-operational machines new designs were needed. One such designed utility was invented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engineered by Dr. Thomas Catalano in AD 2014, the Full-Spatial median-free-liquid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photonic bit(s) transfer module 276,480-bit analog/digital computational processor/computer so to the design,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engineering and guidelines to coherently run arbitrary instruction sets to the architecture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Designing the utility: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core photonic processing unit runs two opposing single(main plate) and/or overlayed(grid plate system added to the main plate for true parallelism multi-processing) lenses for data stream(s) as RGB color spectrum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number sequencing as one "channeled" beam rays streaming like a thread in a "silica" based microprocessor.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"channeled" stream is sequencing data numerically by referencing the RGB color spectrum.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single standalone complete center-cycling semiconductor at the central switching/processing module hubed to the I/O lenses on each side of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"U-shaped" unit embedding the (2)276,480-pin injection on each side then connecting to the semiconductors centralized connector system.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Engineering programming: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how, what and where of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do we now handle/define units of bit(s)-to-precession float number counts as hardware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architecture is not limited to bit transfer unit.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need new and add to current structured binary translations to define spunit as 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independent of 360_degree area cavity trace route.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 matter the size of cavity, defining measurable rate is compared by data rate (d rate)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"defined" transmitting median(tm rate).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############The "spectra unit" ############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-requires unit of measurement for RGB color/spectrum(by)data stream coverage 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compute rate() per time/frame at actual area computing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-A required unit of measurement for one(1) "spectra unit" as per a "IEEE Std" would define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scale to calculate 0-100% cofactor of continuous bit transfer rate..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-()3×256=768×360=(276,480-bit spectral cavity processor); spectra by one(n area) cavity 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multi(n area) per cavities spectrums total area of calculating/actual area used 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-now we have one "276,480-bit "spectra(s)"" in (n) area;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 at()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per second of ON time=(n)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Programming: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 will contextualize current programming languages to building a stand alone language.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Arithmetic…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IE. Floating point numbers...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([(Floating-Point*/0×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Floating-Point*/0)])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((3×256)[x*])(k*))]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new programming language/packaging required for pragmatic system requirements needed for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operations/conversions to...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Now;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-we fill in with architecture hardware specifications..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All (spectral areas(undetermined defined range) by(×)×(the cavity(x)) are deterministic[x] and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accountable (per unit(xOFn)) of(per unit filled(xOFn)=(spectral range(3×256)×(n))...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Defined area of spectral area as standard;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-material per unit sq. ?...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then-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-we know we can not use the ranges defined by present standards or programming languages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required to define the future approved ranges of grouped numbers then to be translated into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current silica microprocessor architecture.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Example- progmatic inference;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"bit" lang for the Full-Spatial Quantum Computer);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-Due to new architecture non-restrictions setting implicit charters are required…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Looped verification of spectral timed events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Bounds vs. Latency = ~0~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Numbered/naming power of (n) number sequensing in blocks named(x)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!Level of standard!...machine always ON or always OFF…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...okay let's GO!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Formatting/Transfer from the "bit" lang programming language to…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-Registry requirements per area of available spectral cohesion rate..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-library's to systemically w/ Floating-Point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File format and/or runing sums to target architecture whether dependent to specific output of the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Full-Spatial computer processor(ie. operating system specific to the FSCP).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-on continuing this working draft the emphasis will be maximum hardware output with a stand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alone standardized operating/programming system/language to utilize structured semantics in info-packaging the new 276,480-bit computer processor architecture.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Draft number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