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continue the betterment of education by growing academia and industry with proven data and practices forthwith scientific and engineering 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 I engineered and built;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 and Visual Recognition Medical Instrument and submitted a white paper to the U.S Army Research Laboratory(ARL).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processes.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Core; the blockchain hyperprotovisor software running the Bitcoin p2p network, confirming and reporting to the U.S. Federal Trade Commission at antitrust@ftc.gov the illegitimacy of cryptocurrency as a financial market weight and the  inefficiency of "blockchain" as a hashing log verifier, "hyperledger".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engineered;                 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a Nuclear Fusion Reactor and a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