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Plasma Physicist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Plasma Physicist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Quantum(Hydrogen(H) ion reciprocating)Engine.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Quantum(Full Floating-Point Compression via Median-Free Liquid and Photonic Bit Transfer)Computational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instrumentation.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 </w:t>
            </w:r>
            <w:r w:rsidDel="00000000" w:rsidR="00000000" w:rsidRPr="00000000">
              <w:rPr>
                <w:b w:val="0"/>
                <w:rtl w:val="0"/>
              </w:rPr>
              <w:t xml:space="preserve">- Graduate School / Class of 2015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