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规模、可重组、可观测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课程层次性不足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清华的院系设置：目前，清华大学设有20个学院，59个系，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已成为一所具有理学、工学、文学、艺术学、历史学、哲学、经济学、管理学、法学、教育学和医学等学科的综合性的研究型大学。</w:t>
      </w:r>
    </w:p>
    <w:p>
      <w:r>
        <w:drawing>
          <wp:inline distT="0" distB="0" distL="114300" distR="114300">
            <wp:extent cx="4419600" cy="30556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53940" cy="43815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731510"/>
            <wp:effectExtent l="0" t="0" r="146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来自不同院系的学生专业背景不同，再加上个体差异，因此会有基础能力上的不同（编程能力、工艺知识、机械原理……）但是创新是一件面向所有有开放态度的人的事情。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的第一个想法：课程和院系合作开设。因材施教，以学生的需求和兴趣为导向。举例：对于美院，计算机画图基础较好，机械构造可能不了解，3D打印课程对于他们可以减少对软件的教学，而是对设计思路上的开拓。例如，用3D打印做出复杂的空间结构。对于传统工科院系：在体验传统工艺制造时，可以讲授更多的工艺知识。对于计算机/电子院系：关于智能系统的课程不应该只局限于同学的体验和感受，讲解源代码、系统模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和院系合作的同时意味着对外部资源的利用，开设内容和相关院系协商，相关院系可以提供实验室等资源，iCenter的概念可以从一个固定实体扩展到每一个参与的院系，每一个参与的个人。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enter作为基础工业训练中心，培养创新型的工程人才。国外：和企业的合作教育，学生的第二课堂，在企业有一个较长时间的实践锻炼。iCenter应改弥补这一方面的空白。教育演进：唯分数论——课题式研究、研讨课——设计实践教学体系，增强实践教学的目标性与系统性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课程设置：从STEM基础素质课程、到进阶的advanced课程，再到最终学生的project课程挑战。层层嵌套，上一级的课程为下一层课程做铺垫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参考文献：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王秀梅. 工科高校创新人才培养及评价研究[D].华北电力大学（河北）,2009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CEC717"/>
    <w:multiLevelType w:val="singleLevel"/>
    <w:tmpl w:val="E8CEC71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9108A"/>
    <w:rsid w:val="54097B73"/>
    <w:rsid w:val="70CA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2019-10-13T06:30:36Z</dcterms:created>
  <dc:creator>13489</dc:creator>
  <cp:lastModifiedBy>mTJY</cp:lastModifiedBy>
  <dcterms:modified xsi:type="dcterms:W3CDTF">2019-10-13T07:08:37Z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