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numPr>
          <w:ilvl w:val="0"/>
          <w:numId w:val="1"/>
        </w:numPr>
        <w:spacing w:before="0" w:beforeAutospacing="0" w:after="0" w:afterAutospacing="0"/>
        <w:ind w:left="432" w:right="840" w:hanging="432" w:firstLineChars="0"/>
        <w:rPr>
          <w:rFonts w:eastAsia="等线"/>
          <w:lang w:val="en-US"/>
        </w:rPr>
      </w:pPr>
      <w:r>
        <w:rPr>
          <w:rFonts w:eastAsia="等线"/>
          <w:lang w:eastAsia="zh-CN"/>
        </w:rPr>
        <w:t>定位</w:t>
      </w:r>
    </w:p>
    <w:p>
      <w:pPr>
        <w:pStyle w:val="4"/>
        <w:widowControl/>
        <w:numPr>
          <w:ilvl w:val="0"/>
          <w:numId w:val="2"/>
        </w:numPr>
        <w:spacing w:before="0" w:beforeAutospacing="0" w:after="0" w:afterAutospacing="0"/>
        <w:ind w:left="360" w:right="840" w:hanging="360" w:firstLineChars="0"/>
        <w:rPr>
          <w:rFonts w:eastAsia="等线"/>
          <w:lang w:val="en-US"/>
        </w:rPr>
      </w:pPr>
      <w:r>
        <w:rPr>
          <w:rFonts w:eastAsia="等线"/>
          <w:lang w:eastAsia="zh-CN"/>
        </w:rPr>
        <w:t>宏观定位</w:t>
      </w:r>
    </w:p>
    <w:p>
      <w:pPr>
        <w:pStyle w:val="4"/>
        <w:widowControl/>
        <w:numPr>
          <w:ilvl w:val="1"/>
          <w:numId w:val="3"/>
        </w:numPr>
        <w:spacing w:before="0" w:beforeAutospacing="0" w:after="0" w:afterAutospacing="0"/>
        <w:ind w:left="720" w:right="840" w:hanging="360" w:firstLineChars="0"/>
        <w:rPr>
          <w:color w:val="333333"/>
          <w:shd w:val="clear" w:fill="FFFFFF"/>
          <w:lang w:val="en-US"/>
        </w:rPr>
      </w:pPr>
      <w:r>
        <w:rPr>
          <w:rFonts w:eastAsia="等线"/>
          <w:b/>
          <w:lang w:val="en-US"/>
        </w:rPr>
        <w:t>2015</w:t>
      </w:r>
      <w:r>
        <w:rPr>
          <w:rFonts w:eastAsia="等线"/>
          <w:b/>
          <w:lang w:eastAsia="zh-CN"/>
        </w:rPr>
        <w:t>年</w:t>
      </w:r>
      <w:r>
        <w:rPr>
          <w:rFonts w:eastAsia="等线"/>
          <w:b/>
          <w:lang w:val="en-US"/>
        </w:rPr>
        <w:t>1</w:t>
      </w:r>
      <w:r>
        <w:rPr>
          <w:rFonts w:eastAsia="等线"/>
          <w:b/>
          <w:lang w:eastAsia="zh-CN"/>
        </w:rPr>
        <w:t>月</w:t>
      </w:r>
      <w:r>
        <w:rPr>
          <w:rFonts w:eastAsia="等线"/>
          <w:b/>
          <w:lang w:val="en-US"/>
        </w:rPr>
        <w:t>28</w:t>
      </w:r>
      <w:r>
        <w:rPr>
          <w:rFonts w:eastAsia="等线"/>
          <w:b/>
          <w:lang w:eastAsia="zh-CN"/>
        </w:rPr>
        <w:t>日，李克强总理主持召开国务院常务会议，确定支持发展“众创空间”的政策支持，为创业创新搭建新平台。</w:t>
      </w:r>
      <w:r>
        <w:rPr>
          <w:color w:val="333333"/>
          <w:shd w:val="clear" w:fill="FFFFFF"/>
          <w:lang w:eastAsia="zh-CN"/>
        </w:rPr>
        <w:t>会议指出，顺应网络时代推动大众创业、万众创新的形势，构建面向人人的“众创空间”等创业服务平台，对于激发亿万群众创造活力，培育包括大学生在内的各类青年创新人才和创新团队，带动扩大就业，打造经济发展新的“发动机”，具有重要意义。一要在创客空间、创新工场等孵化模式的基础上，大力发展市场化、专业化、集成化、网络化的“众创空间”，实现创新与创业、线上与线下、孵化与投资相结合，为小微创新企业成长和个人创业提供低成本、便利化、全要素的开放式综合服务平台。二要加大政策扶持。适应“众创空间”等新型孵化机构集中办公等特点，简化登记手续，为创业企业工商注册提供便利。支持有条件的地方对“众创空间”的房租、宽带网络、公共软件等给予适当补贴，或通过盘活闲置厂房等资源提供成本较低的场所。三要完善创业投融资机制。发挥政府创投引导基金和财税政策作用，对种子期、初创期科技型中小企业给予支持，培育发展天使投资。完善互联网股权众筹融资机制，发展区域性股权交易市场，鼓励金融机构开发科技融资担保、知识产权质押等产品和服务。四要打造良好创业创新生态环境。健全创业辅导指导制度，支持举办创业训练营、创业创新大赛等活动，培育创客文化，让创业创新蔚然成风。</w:t>
      </w:r>
    </w:p>
    <w:p>
      <w:pPr>
        <w:pStyle w:val="4"/>
        <w:widowControl/>
        <w:spacing w:before="0" w:beforeAutospacing="0" w:after="0" w:afterAutospacing="0"/>
        <w:ind w:left="720" w:right="840" w:firstLine="0" w:firstLineChars="0"/>
        <w:rPr>
          <w:color w:val="333333"/>
          <w:shd w:val="clear" w:fill="FFFFFF"/>
          <w:lang w:val="en-US"/>
        </w:rPr>
      </w:pPr>
      <w:r>
        <w:rPr>
          <w:lang w:val="en-US"/>
        </w:rPr>
        <w:drawing>
          <wp:inline distT="0" distB="0" distL="114300" distR="114300">
            <wp:extent cx="3589020" cy="2743200"/>
            <wp:effectExtent l="0" t="0" r="762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3589020" cy="2743200"/>
                    </a:xfrm>
                    <a:prstGeom prst="rect">
                      <a:avLst/>
                    </a:prstGeom>
                    <a:noFill/>
                    <a:ln w="9525">
                      <a:noFill/>
                    </a:ln>
                  </pic:spPr>
                </pic:pic>
              </a:graphicData>
            </a:graphic>
          </wp:inline>
        </w:drawing>
      </w:r>
    </w:p>
    <w:p>
      <w:pPr>
        <w:pStyle w:val="4"/>
        <w:widowControl/>
        <w:numPr>
          <w:ilvl w:val="1"/>
          <w:numId w:val="3"/>
        </w:numPr>
        <w:spacing w:before="0" w:beforeAutospacing="0" w:after="0" w:afterAutospacing="0"/>
        <w:ind w:left="720" w:right="840" w:hanging="360" w:firstLineChars="0"/>
        <w:rPr>
          <w:rFonts w:eastAsia="等线"/>
          <w:szCs w:val="21"/>
          <w:lang w:val="en-US"/>
        </w:rPr>
      </w:pPr>
      <w:r>
        <w:rPr>
          <w:rFonts w:eastAsia="等线"/>
          <w:b/>
          <w:color w:val="auto"/>
          <w:szCs w:val="21"/>
          <w:shd w:val="clear" w:fill="FFFFFF"/>
          <w:lang w:eastAsia="zh-CN"/>
        </w:rPr>
        <w:t>国务院新闻办于</w:t>
      </w:r>
      <w:r>
        <w:rPr>
          <w:rFonts w:eastAsia="等线"/>
          <w:b/>
          <w:color w:val="auto"/>
          <w:szCs w:val="21"/>
          <w:shd w:val="clear" w:fill="FFFFFF"/>
          <w:lang w:val="en-US"/>
        </w:rPr>
        <w:t>2016</w:t>
      </w:r>
      <w:r>
        <w:rPr>
          <w:rFonts w:eastAsia="等线"/>
          <w:b/>
          <w:color w:val="auto"/>
          <w:szCs w:val="21"/>
          <w:shd w:val="clear" w:fill="FFFFFF"/>
          <w:lang w:eastAsia="zh-CN"/>
        </w:rPr>
        <w:t>年</w:t>
      </w:r>
      <w:r>
        <w:rPr>
          <w:rFonts w:eastAsia="等线"/>
          <w:b/>
          <w:color w:val="auto"/>
          <w:szCs w:val="21"/>
          <w:shd w:val="clear" w:fill="FFFFFF"/>
          <w:lang w:val="en-US"/>
        </w:rPr>
        <w:t>2</w:t>
      </w:r>
      <w:r>
        <w:rPr>
          <w:rFonts w:eastAsia="等线"/>
          <w:b/>
          <w:color w:val="auto"/>
          <w:szCs w:val="21"/>
          <w:shd w:val="clear" w:fill="FFFFFF"/>
          <w:lang w:eastAsia="zh-CN"/>
        </w:rPr>
        <w:t>月</w:t>
      </w:r>
      <w:r>
        <w:rPr>
          <w:rFonts w:eastAsia="等线"/>
          <w:b/>
          <w:color w:val="auto"/>
          <w:szCs w:val="21"/>
          <w:shd w:val="clear" w:fill="FFFFFF"/>
          <w:lang w:val="en-US"/>
        </w:rPr>
        <w:t>5</w:t>
      </w:r>
      <w:r>
        <w:rPr>
          <w:rFonts w:eastAsia="等线"/>
          <w:b/>
          <w:color w:val="auto"/>
          <w:szCs w:val="21"/>
          <w:shd w:val="clear" w:fill="FFFFFF"/>
          <w:lang w:eastAsia="zh-CN"/>
        </w:rPr>
        <w:t>日（星期五）上午</w:t>
      </w:r>
      <w:r>
        <w:rPr>
          <w:rFonts w:eastAsia="等线"/>
          <w:b/>
          <w:color w:val="auto"/>
          <w:szCs w:val="21"/>
          <w:shd w:val="clear" w:fill="FFFFFF"/>
          <w:lang w:val="en-US"/>
        </w:rPr>
        <w:t>10</w:t>
      </w:r>
      <w:r>
        <w:rPr>
          <w:rFonts w:eastAsia="等线"/>
          <w:b/>
          <w:color w:val="auto"/>
          <w:szCs w:val="21"/>
          <w:shd w:val="clear" w:fill="FFFFFF"/>
          <w:lang w:eastAsia="zh-CN"/>
        </w:rPr>
        <w:t>时在国务院新闻办新闻发布厅举行国务院政策例行吹风会，请科技部副部长阴和俊和国家发展改革委、国家工商总局有关负责人介绍大力发展众创空间推动科技创新服务于实体经济转型升级的有关情况。</w:t>
      </w:r>
      <w:r>
        <w:rPr>
          <w:rFonts w:eastAsia="等线"/>
          <w:color w:val="auto"/>
          <w:szCs w:val="21"/>
          <w:shd w:val="clear" w:fill="FFFFFF"/>
          <w:lang w:eastAsia="zh-CN"/>
        </w:rPr>
        <w:t>阴和俊副部长答记者问道：“</w:t>
      </w:r>
      <w:r>
        <w:rPr>
          <w:rFonts w:eastAsia="等线"/>
          <w:color w:val="auto"/>
          <w:shd w:val="clear" w:fill="FFFFFF"/>
          <w:lang w:eastAsia="zh-CN"/>
        </w:rPr>
        <w:t>国务院高度重视推进大众创业、万众创新工作，出台了包括发展众创空间在内的一系列支持“双创”的重要政策举措。最近，李克强总理多次作出重要批示指示，要求在总结借鉴国内外经验的基础上，继续出台支持双创的举措，抓好众创空间等相关政策的落实，有针对性的解决问题，不断优化双创的环境，使得双创成为拉动经济增长、促进转型升级、带来大量就业的强劲新动能。此次国务院再次对发展众创空间进行研究部署，主要目的是促进众创空间向专业化发展，为大众创业万众创新提供低成本、全方位、专业化服务，更大释放全社会创业创新的活力，加快科技成果向现实生产力转化，通过龙头企业、中小微企业、科研院所、高等院校、创客等多方协同，打造产学研贯通的众创空间，吸引更多科技人员投身科技型创业创新，促进人才、技术、资本等各类创新要素的高效配置和有效集成，推进产业链创新链深度融合，增强实体经济发展新动能，培育经济发展新动力。在政策支持上，主要是通过充分利用现有创新政策工具，挖掘已有政策的潜力，加大政策落实的力度，形成支持众创空间发展的政策体系。从政策目的看，大体分为两类：第一类是降低众创空间建设和运营成本，调动建设主体的积极性。包括两个方面，一方面是采取补助、奖励、加速折旧、进口税收优惠等方式，鼓励企业、高校、院所加大对众创空间场所设施、仪器设备等的投入。另一方面是通过科技企业孵化器税收优惠、改进国有企业业绩考核、软硬件设施补贴等方式，调动企业、院所、高校参与众创空间建设的积极性。第二类是为众创空间中的创新创业者提供精准支持，比如，通过国家科技计划和政策性引导基金，对优秀创业团队和重点项目进行支持，对众创空间投入的、符合条件的研发费用适用税前加计扣除政策，保留到众创空间创新创业的科研人员的人事关系、探索完善创新成果收益分配制度等。</w:t>
      </w:r>
      <w:r>
        <w:rPr>
          <w:rFonts w:eastAsia="等线"/>
          <w:color w:val="auto"/>
          <w:szCs w:val="21"/>
          <w:shd w:val="clear" w:fill="FFFFFF"/>
          <w:lang w:eastAsia="zh-CN"/>
        </w:rPr>
        <w:t>”</w:t>
      </w:r>
    </w:p>
    <w:p>
      <w:pPr>
        <w:keepNext w:val="0"/>
        <w:keepLines w:val="0"/>
        <w:widowControl w:val="0"/>
        <w:suppressLineNumbers w:val="0"/>
        <w:spacing w:before="0" w:beforeAutospacing="0" w:after="0" w:afterAutospacing="0"/>
        <w:ind w:left="360" w:right="840"/>
        <w:jc w:val="both"/>
        <w:rPr>
          <w:rFonts w:eastAsia="等线"/>
          <w:lang w:val="en-US"/>
        </w:rPr>
      </w:pPr>
    </w:p>
    <w:p>
      <w:pPr>
        <w:pStyle w:val="4"/>
        <w:widowControl/>
        <w:numPr>
          <w:ilvl w:val="0"/>
          <w:numId w:val="2"/>
        </w:numPr>
        <w:spacing w:before="0" w:beforeAutospacing="0" w:after="0" w:afterAutospacing="0"/>
        <w:ind w:left="360" w:right="840" w:hanging="360" w:firstLineChars="0"/>
        <w:rPr>
          <w:rFonts w:eastAsia="等线"/>
          <w:lang w:val="en-US"/>
        </w:rPr>
      </w:pPr>
      <w:r>
        <w:rPr>
          <w:rFonts w:eastAsia="等线"/>
          <w:lang w:val="en-US"/>
        </w:rPr>
        <w:t xml:space="preserve">icenter </w:t>
      </w:r>
      <w:r>
        <w:rPr>
          <w:rFonts w:eastAsia="等线"/>
          <w:lang w:eastAsia="zh-CN"/>
        </w:rPr>
        <w:t>定位</w:t>
      </w:r>
    </w:p>
    <w:p>
      <w:pPr>
        <w:pStyle w:val="4"/>
        <w:widowControl/>
        <w:spacing w:before="0" w:beforeAutospacing="0" w:after="0" w:afterAutospacing="0"/>
        <w:ind w:left="360" w:right="840" w:firstLine="0" w:firstLineChars="0"/>
        <w:rPr>
          <w:rFonts w:eastAsia="等线" w:cs="Arial"/>
          <w:shd w:val="clear" w:fill="FFFFFF"/>
          <w:lang w:val="en-US"/>
        </w:rPr>
      </w:pPr>
      <w:r>
        <w:rPr>
          <w:rFonts w:eastAsia="等线"/>
          <w:lang w:val="en-US"/>
        </w:rPr>
        <w:t xml:space="preserve">2.1 </w:t>
      </w:r>
      <w:r>
        <w:rPr>
          <w:rFonts w:eastAsia="等线" w:cs="Arial"/>
          <w:color w:val="auto"/>
          <w:shd w:val="clear" w:fill="FFFFFF"/>
          <w:lang w:eastAsia="zh-CN"/>
        </w:rPr>
        <w:t>基础工业训练中心统筹规划、具体实施全校工程实践教学和相关科研工作。</w:t>
      </w:r>
    </w:p>
    <w:p>
      <w:pPr>
        <w:keepNext w:val="0"/>
        <w:keepLines w:val="0"/>
        <w:widowControl w:val="0"/>
        <w:suppressLineNumbers w:val="0"/>
        <w:spacing w:before="0" w:beforeAutospacing="0" w:after="0" w:afterAutospacing="0"/>
        <w:ind w:left="0" w:right="840" w:firstLine="420" w:firstLineChars="200"/>
        <w:jc w:val="both"/>
        <w:rPr>
          <w:rFonts w:eastAsia="等线"/>
          <w:lang w:val="en-US"/>
        </w:rPr>
      </w:pPr>
      <w:r>
        <w:rPr>
          <w:rFonts w:hint="eastAsia" w:ascii="等线" w:hAnsi="等线" w:eastAsia="等线" w:cs="Times New Roman"/>
          <w:kern w:val="2"/>
          <w:sz w:val="21"/>
          <w:szCs w:val="22"/>
          <w:lang w:val="en-US" w:eastAsia="zh-CN" w:bidi="ar"/>
        </w:rPr>
        <w:t xml:space="preserve">2.2 </w:t>
      </w:r>
    </w:p>
    <w:p>
      <w:pPr>
        <w:pStyle w:val="4"/>
        <w:widowControl/>
        <w:numPr>
          <w:ilvl w:val="1"/>
          <w:numId w:val="2"/>
        </w:numPr>
        <w:spacing w:before="0" w:beforeAutospacing="0" w:after="0" w:afterAutospacing="0"/>
        <w:ind w:left="780" w:right="840" w:hanging="360" w:firstLineChars="0"/>
        <w:rPr>
          <w:rFonts w:eastAsia="等线" w:cs="Arial"/>
          <w:shd w:val="clear" w:fill="FFFFFF"/>
          <w:lang w:val="en-US"/>
        </w:rPr>
      </w:pPr>
      <w:r>
        <w:rPr>
          <w:rFonts w:eastAsia="等线" w:cs="Arial"/>
          <w:color w:val="auto"/>
          <w:shd w:val="clear" w:fill="FFFFFF"/>
          <w:lang w:eastAsia="zh-CN"/>
        </w:rPr>
        <w:t>工程训练基地，为卓越工程师培养服务；</w:t>
      </w:r>
    </w:p>
    <w:p>
      <w:pPr>
        <w:pStyle w:val="4"/>
        <w:widowControl/>
        <w:numPr>
          <w:ilvl w:val="1"/>
          <w:numId w:val="2"/>
        </w:numPr>
        <w:spacing w:before="0" w:beforeAutospacing="0" w:after="0" w:afterAutospacing="0"/>
        <w:ind w:left="780" w:right="840" w:hanging="360" w:firstLineChars="0"/>
        <w:rPr>
          <w:rFonts w:eastAsia="等线" w:cs="Arial"/>
          <w:shd w:val="clear" w:fill="FFFFFF"/>
          <w:lang w:val="en-US"/>
        </w:rPr>
      </w:pPr>
      <w:r>
        <w:rPr>
          <w:rFonts w:eastAsia="等线" w:cs="Arial"/>
          <w:color w:val="auto"/>
          <w:shd w:val="clear" w:fill="FFFFFF"/>
          <w:lang w:eastAsia="zh-CN"/>
        </w:rPr>
        <w:t>课外科技创新活动支撑平台，为拔尖创新人才培养服务；</w:t>
      </w:r>
    </w:p>
    <w:p>
      <w:pPr>
        <w:pStyle w:val="4"/>
        <w:widowControl/>
        <w:numPr>
          <w:ilvl w:val="1"/>
          <w:numId w:val="2"/>
        </w:numPr>
        <w:spacing w:before="0" w:beforeAutospacing="0" w:after="0" w:afterAutospacing="0"/>
        <w:ind w:left="780" w:right="840" w:hanging="360" w:firstLineChars="0"/>
        <w:rPr>
          <w:rFonts w:eastAsia="等线" w:cs="Arial"/>
          <w:shd w:val="clear" w:fill="FFFFFF"/>
          <w:lang w:val="en-US"/>
        </w:rPr>
      </w:pPr>
      <w:r>
        <w:rPr>
          <w:rFonts w:eastAsia="等线" w:cs="Arial"/>
          <w:color w:val="auto"/>
          <w:shd w:val="clear" w:fill="FFFFFF"/>
          <w:lang w:eastAsia="zh-CN"/>
        </w:rPr>
        <w:t>工程素质和工程文化教育基地，为复合型人才培养服务；</w:t>
      </w:r>
    </w:p>
    <w:p>
      <w:pPr>
        <w:pStyle w:val="4"/>
        <w:widowControl/>
        <w:numPr>
          <w:ilvl w:val="1"/>
          <w:numId w:val="2"/>
        </w:numPr>
        <w:spacing w:before="0" w:beforeAutospacing="0" w:after="0" w:afterAutospacing="0"/>
        <w:ind w:left="780" w:right="840" w:hanging="360" w:firstLineChars="0"/>
        <w:rPr>
          <w:rFonts w:eastAsia="等线" w:cs="Arial"/>
          <w:shd w:val="clear" w:fill="FFFFFF"/>
          <w:lang w:val="en-US"/>
        </w:rPr>
      </w:pPr>
      <w:r>
        <w:rPr>
          <w:rFonts w:eastAsia="等线" w:cs="Arial"/>
          <w:color w:val="auto"/>
          <w:shd w:val="clear" w:fill="FFFFFF"/>
          <w:lang w:eastAsia="zh-CN"/>
        </w:rPr>
        <w:t>拓展工程训练特色的科研方向，强化服务功能，成为学校高水平科研转化服务平台，实现中心可持续发展。</w:t>
      </w:r>
    </w:p>
    <w:p>
      <w:pPr>
        <w:pStyle w:val="4"/>
        <w:widowControl/>
        <w:spacing w:before="0" w:beforeAutospacing="0" w:after="0" w:afterAutospacing="0"/>
        <w:ind w:left="360" w:right="840" w:firstLine="0" w:firstLineChars="0"/>
        <w:rPr>
          <w:rFonts w:eastAsia="等线" w:cs="Arial"/>
          <w:shd w:val="clear" w:fill="FFFFFF"/>
          <w:lang w:val="en-US"/>
        </w:rPr>
      </w:pPr>
      <w:r>
        <w:rPr>
          <w:rFonts w:eastAsia="等线"/>
          <w:lang w:val="en-US"/>
        </w:rPr>
        <w:t xml:space="preserve">2.3 </w:t>
      </w:r>
      <w:r>
        <w:rPr>
          <w:rFonts w:eastAsia="等线" w:cs="Arial"/>
          <w:color w:val="auto"/>
          <w:shd w:val="clear" w:fill="FFFFFF"/>
          <w:lang w:eastAsia="zh-CN"/>
        </w:rPr>
        <w:t>训练中心的正确定位并保持可持续健康发展，得益于科学有效的人才队伍建设成果，目前基本形成了</w:t>
      </w:r>
      <w:r>
        <w:rPr>
          <w:rFonts w:eastAsia="等线" w:cs="Arial"/>
          <w:color w:val="auto"/>
          <w:shd w:val="clear" w:fill="FFFFFF"/>
          <w:lang w:val="en-US"/>
        </w:rPr>
        <w:t>“</w:t>
      </w:r>
      <w:r>
        <w:rPr>
          <w:rFonts w:eastAsia="等线" w:cs="Arial"/>
          <w:color w:val="auto"/>
          <w:shd w:val="clear" w:fill="FFFFFF"/>
          <w:lang w:eastAsia="zh-CN"/>
        </w:rPr>
        <w:t>教师为核心、工程实验技术人员为主力、技术工人为辅助、合同制人员为补充</w:t>
      </w:r>
      <w:r>
        <w:rPr>
          <w:rFonts w:eastAsia="等线" w:cs="Arial"/>
          <w:color w:val="auto"/>
          <w:shd w:val="clear" w:fill="FFFFFF"/>
          <w:lang w:val="en-US"/>
        </w:rPr>
        <w:t>”</w:t>
      </w:r>
      <w:r>
        <w:rPr>
          <w:rFonts w:eastAsia="等线" w:cs="Arial"/>
          <w:color w:val="auto"/>
          <w:shd w:val="clear" w:fill="FFFFFF"/>
          <w:lang w:eastAsia="zh-CN"/>
        </w:rPr>
        <w:t>，</w:t>
      </w:r>
      <w:r>
        <w:rPr>
          <w:rFonts w:eastAsia="等线" w:cs="Arial"/>
          <w:color w:val="auto"/>
          <w:shd w:val="clear" w:fill="FFFFFF"/>
          <w:lang w:val="en-US"/>
        </w:rPr>
        <w:t>“</w:t>
      </w:r>
      <w:r>
        <w:rPr>
          <w:rFonts w:eastAsia="等线" w:cs="Arial"/>
          <w:color w:val="auto"/>
          <w:shd w:val="clear" w:fill="FFFFFF"/>
          <w:lang w:eastAsia="zh-CN"/>
        </w:rPr>
        <w:t>总体规模适度，年龄、学历、层次等结构合理，核心人员稳定</w:t>
      </w:r>
      <w:r>
        <w:rPr>
          <w:rFonts w:eastAsia="等线" w:cs="Arial"/>
          <w:color w:val="auto"/>
          <w:shd w:val="clear" w:fill="FFFFFF"/>
          <w:lang w:val="en-US"/>
        </w:rPr>
        <w:t>”</w:t>
      </w:r>
      <w:r>
        <w:rPr>
          <w:rFonts w:eastAsia="等线" w:cs="Arial"/>
          <w:color w:val="auto"/>
          <w:shd w:val="clear" w:fill="FFFFFF"/>
          <w:lang w:eastAsia="zh-CN"/>
        </w:rPr>
        <w:t>的实践教学队伍。</w:t>
      </w:r>
    </w:p>
    <w:p>
      <w:bookmarkStart w:id="0" w:name="_GoBack"/>
      <w:bookmarkEnd w:id="0"/>
    </w:p>
    <w:sectPr>
      <w:pgSz w:w="12240" w:h="15840"/>
      <w:pgMar w:top="1440" w:right="1800" w:bottom="1440" w:left="1800" w:header="720" w:footer="720"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6FF" w:usb1="420024FF" w:usb2="02000000" w:usb3="00000000" w:csb0="2000019F" w:csb1="00000000"/>
  </w:font>
  <w:font w:name="等线">
    <w:panose1 w:val="02010600030101010101"/>
    <w:charset w:val="86"/>
    <w:family w:val="auto"/>
    <w:pitch w:val="variable"/>
    <w:sig w:usb0="A00002BF" w:usb1="38CF7CFA" w:usb2="00000016" w:usb3="00000000" w:csb0="0004000F" w:csb1="00000000"/>
  </w:font>
  <w:font w:name="@微软雅黑">
    <w:panose1 w:val="020B0503020204020204"/>
    <w:charset w:val="86"/>
    <w:family w:val="auto"/>
    <w:pitch w:val="variable"/>
    <w:sig w:usb0="80000287" w:usb1="2ACF3C50" w:usb2="00000016" w:usb3="00000000" w:csb0="0004001F" w:csb1="00000000"/>
  </w:font>
  <w:font w:name="微软雅黑">
    <w:panose1 w:val="020B0503020204020204"/>
    <w:charset w:val="86"/>
    <w:family w:val="auto"/>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7EA1A"/>
    <w:multiLevelType w:val="multilevel"/>
    <w:tmpl w:val="2877EA1A"/>
    <w:lvl w:ilvl="0" w:tentative="0">
      <w:start w:val="1"/>
      <w:numFmt w:val="decimal"/>
      <w:lvlText w:val="%1"/>
      <w:lvlJc w:val="left"/>
      <w:pPr>
        <w:ind w:left="360" w:hanging="360"/>
      </w:pPr>
      <w:rPr>
        <w:rFonts w:eastAsia="等线"/>
        <w:color w:val="auto"/>
      </w:rPr>
    </w:lvl>
    <w:lvl w:ilvl="1" w:tentative="0">
      <w:start w:val="1"/>
      <w:numFmt w:val="decimal"/>
      <w:lvlText w:val="%1.%2"/>
      <w:lvlJc w:val="left"/>
      <w:pPr>
        <w:ind w:left="720" w:hanging="360"/>
      </w:pPr>
      <w:rPr>
        <w:rFonts w:eastAsia="等线"/>
        <w:color w:val="auto"/>
      </w:rPr>
    </w:lvl>
    <w:lvl w:ilvl="2" w:tentative="0">
      <w:start w:val="1"/>
      <w:numFmt w:val="decimal"/>
      <w:lvlText w:val="%1.%2.%3"/>
      <w:lvlJc w:val="left"/>
      <w:pPr>
        <w:ind w:left="1440" w:hanging="720"/>
      </w:pPr>
      <w:rPr>
        <w:rFonts w:eastAsia="等线"/>
        <w:color w:val="auto"/>
      </w:rPr>
    </w:lvl>
    <w:lvl w:ilvl="3" w:tentative="0">
      <w:start w:val="1"/>
      <w:numFmt w:val="decimal"/>
      <w:lvlText w:val="%1.%2.%3.%4"/>
      <w:lvlJc w:val="left"/>
      <w:pPr>
        <w:ind w:left="1800" w:hanging="720"/>
      </w:pPr>
      <w:rPr>
        <w:rFonts w:eastAsia="等线"/>
        <w:color w:val="auto"/>
      </w:rPr>
    </w:lvl>
    <w:lvl w:ilvl="4" w:tentative="0">
      <w:start w:val="1"/>
      <w:numFmt w:val="decimal"/>
      <w:lvlText w:val="%1.%2.%3.%4.%5"/>
      <w:lvlJc w:val="left"/>
      <w:pPr>
        <w:ind w:left="2520" w:hanging="1080"/>
      </w:pPr>
      <w:rPr>
        <w:rFonts w:eastAsia="等线"/>
        <w:color w:val="auto"/>
      </w:rPr>
    </w:lvl>
    <w:lvl w:ilvl="5" w:tentative="0">
      <w:start w:val="1"/>
      <w:numFmt w:val="decimal"/>
      <w:lvlText w:val="%1.%2.%3.%4.%5.%6"/>
      <w:lvlJc w:val="left"/>
      <w:pPr>
        <w:ind w:left="2880" w:hanging="1080"/>
      </w:pPr>
      <w:rPr>
        <w:rFonts w:eastAsia="等线"/>
        <w:color w:val="auto"/>
      </w:rPr>
    </w:lvl>
    <w:lvl w:ilvl="6" w:tentative="0">
      <w:start w:val="1"/>
      <w:numFmt w:val="decimal"/>
      <w:lvlText w:val="%1.%2.%3.%4.%5.%6.%7"/>
      <w:lvlJc w:val="left"/>
      <w:pPr>
        <w:ind w:left="3600" w:hanging="1440"/>
      </w:pPr>
      <w:rPr>
        <w:rFonts w:eastAsia="等线"/>
        <w:color w:val="auto"/>
      </w:rPr>
    </w:lvl>
    <w:lvl w:ilvl="7" w:tentative="0">
      <w:start w:val="1"/>
      <w:numFmt w:val="decimal"/>
      <w:lvlText w:val="%1.%2.%3.%4.%5.%6.%7.%8"/>
      <w:lvlJc w:val="left"/>
      <w:pPr>
        <w:ind w:left="3960" w:hanging="1440"/>
      </w:pPr>
      <w:rPr>
        <w:rFonts w:eastAsia="等线"/>
        <w:color w:val="auto"/>
      </w:rPr>
    </w:lvl>
    <w:lvl w:ilvl="8" w:tentative="0">
      <w:start w:val="1"/>
      <w:numFmt w:val="decimal"/>
      <w:lvlText w:val="%1.%2.%3.%4.%5.%6.%7.%8.%9"/>
      <w:lvlJc w:val="left"/>
      <w:pPr>
        <w:ind w:left="4680" w:hanging="1800"/>
      </w:pPr>
      <w:rPr>
        <w:rFonts w:eastAsia="等线"/>
        <w:color w:val="auto"/>
      </w:rPr>
    </w:lvl>
  </w:abstractNum>
  <w:abstractNum w:abstractNumId="1">
    <w:nsid w:val="323D2FAA"/>
    <w:multiLevelType w:val="multilevel"/>
    <w:tmpl w:val="323D2FAA"/>
    <w:lvl w:ilvl="0" w:tentative="0">
      <w:start w:val="1"/>
      <w:numFmt w:val="decimal"/>
      <w:lvlText w:val="%1、"/>
      <w:lvlJc w:val="left"/>
      <w:pPr>
        <w:ind w:left="360" w:hanging="360"/>
      </w:pPr>
    </w:lvl>
    <w:lvl w:ilvl="1" w:tentative="0">
      <w:start w:val="1"/>
      <w:numFmt w:val="decimalEnclosedCircle"/>
      <w:lvlText w:val="%2"/>
      <w:lvlJc w:val="left"/>
      <w:pPr>
        <w:ind w:left="780" w:hanging="360"/>
      </w:pPr>
      <w:rPr>
        <w:rFonts w:cs="微软雅黑"/>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8B9E10E"/>
    <w:multiLevelType w:val="multilevel"/>
    <w:tmpl w:val="68B9E10E"/>
    <w:lvl w:ilvl="0" w:tentative="0">
      <w:start w:val="1"/>
      <w:numFmt w:val="japaneseCounting"/>
      <w:lvlText w:val="%1、"/>
      <w:lvlJc w:val="left"/>
      <w:pPr>
        <w:ind w:left="432" w:hanging="432"/>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940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等线"/>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msolistparagraph"/>
    <w:uiPriority w:val="0"/>
    <w:pPr>
      <w:keepNext w:val="0"/>
      <w:keepLines w:val="0"/>
      <w:widowControl w:val="0"/>
      <w:suppressLineNumbers w:val="0"/>
      <w:spacing w:before="0" w:beforeAutospacing="0" w:after="0" w:afterAutospacing="0"/>
      <w:ind w:left="0" w:right="0" w:firstLine="420" w:firstLineChars="200"/>
      <w:jc w:val="both"/>
    </w:pPr>
    <w:rPr>
      <w:rFonts w:hint="eastAsia" w:ascii="等线" w:hAnsi="等线" w:eastAsia="等线" w:cs="Times New Roman"/>
      <w:kern w:val="2"/>
      <w:sz w:val="21"/>
      <w:szCs w:val="22"/>
      <w:lang w:val="en-US" w:eastAsia="zh-CN" w:bidi="ar"/>
    </w:rPr>
  </w:style>
  <w:style w:type="table" w:customStyle="1" w:styleId="5">
    <w:name w:val="普通表格"/>
    <w:semiHidden/>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2019-10-18T15:02:07Z</dcterms:created>
  <dc:creator>王松源</dc:creator>
  <cp:lastModifiedBy>王松源</cp:lastModifiedBy>
  <dcterms:modified xsi:type="dcterms:W3CDTF">2019-10-18T15:02:22Z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