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  <Override PartName="/word/theme/themeOverride2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预期效果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iCenter的相关资源能够更为丰富。在已有的课程基础上，继续开发数十门适应新生产范式的精品课程，实现对落后或重复课程的迭代。同时iCenter的实验室规模也将得到扩充，除已有的机械、电子、材料等实验室外，还建设覆盖生物、土木、化工等理工课专业以及部分文科商科专业的创新实验室。此外，iCenter的指导师资将拥有更丰富的背景，在已有师资的基础上引进产业界、商业界等综合背景的指导教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44750" cy="3759200"/>
            <wp:effectExtent l="0" t="0" r="6350" b="0"/>
            <wp:docPr id="5" name="图片 5" descr="Snipaste_2019-10-19_21-36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nipaste_2019-10-19_21-36-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iCenter资源规模变化趋势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eastAsia="zh-CN"/>
        </w:rPr>
        <w:t>未来</w:t>
      </w:r>
      <w:r>
        <w:rPr>
          <w:rStyle w:val="7"/>
          <w:rFonts w:hint="eastAsia"/>
          <w:lang w:val="en-US"/>
        </w:rPr>
        <w:t>iCenter</w:t>
      </w:r>
      <w:r>
        <w:rPr>
          <w:rStyle w:val="7"/>
          <w:rFonts w:hint="eastAsia"/>
          <w:lang w:eastAsia="zh-CN"/>
        </w:rPr>
        <w:t>覆盖人数</w:t>
      </w:r>
      <w:r>
        <w:rPr>
          <w:rStyle w:val="7"/>
          <w:rFonts w:hint="eastAsia"/>
          <w:lang w:val="en-US" w:eastAsia="zh-CN"/>
        </w:rPr>
        <w:t>将有两到三倍的增长，其中包括课程覆盖的人数和创新活动覆盖的人数，从而</w:t>
      </w:r>
      <w:r>
        <w:rPr>
          <w:rStyle w:val="7"/>
          <w:rFonts w:hint="eastAsia"/>
          <w:lang w:eastAsia="zh-CN"/>
        </w:rPr>
        <w:t>形成较为庞大的兴趣社群集体。</w:t>
      </w:r>
      <w:r>
        <w:rPr>
          <w:rStyle w:val="7"/>
          <w:rFonts w:hint="eastAsia"/>
          <w:lang w:val="en-US" w:eastAsia="zh-CN"/>
        </w:rPr>
        <w:t>由于课程设计周期较长，而创新活动的举办成本更低，创新活动人数的涨幅将远远超过课程覆盖人数涨幅。同</w:t>
      </w:r>
      <w:r>
        <w:rPr>
          <w:rStyle w:val="7"/>
          <w:rFonts w:hint="eastAsia"/>
          <w:lang w:eastAsia="zh-CN"/>
        </w:rPr>
        <w:t>时，</w:t>
      </w:r>
      <w:r>
        <w:rPr>
          <w:rStyle w:val="7"/>
          <w:rFonts w:hint="eastAsia"/>
          <w:lang w:val="en-US"/>
        </w:rPr>
        <w:t>iCenter</w:t>
      </w:r>
      <w:r>
        <w:rPr>
          <w:rStyle w:val="7"/>
          <w:rFonts w:hint="eastAsia"/>
          <w:lang w:eastAsia="zh-CN"/>
        </w:rPr>
        <w:t>所培养的创客团队人数也会</w:t>
      </w:r>
      <w:r>
        <w:rPr>
          <w:rStyle w:val="7"/>
          <w:rFonts w:hint="eastAsia"/>
          <w:lang w:val="en-US" w:eastAsia="zh-CN"/>
        </w:rPr>
        <w:t>有倍数级的增长。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drawing>
          <wp:inline distT="0" distB="0" distL="114300" distR="114300">
            <wp:extent cx="4572000" cy="2743200"/>
            <wp:effectExtent l="0" t="0" r="0" b="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iCenter覆盖人数规模变化趋势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7"/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在此基础上，预计iCenter的创新创业活动数量会发生飞跃式的增长，除各类工作坊、讲座、比赛，其他更深度的创新项目如SRT项目、落地孵化项目等也预计将有倍数级的增长。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4572000" cy="2743200"/>
            <wp:effectExtent l="0" t="0" r="0" b="0"/>
            <wp:docPr id="7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iCenter科创活动规模变化趋势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eastAsia="宋体" w:cs="Calibri"/>
          <w:sz w:val="22"/>
          <w:szCs w:val="22"/>
          <w:lang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人才培育</w:t>
      </w:r>
    </w:p>
    <w:p>
      <w:pPr>
        <w:rPr>
          <w:rFonts w:hint="default"/>
          <w:lang w:val="en-US" w:eastAsia="zh-CN"/>
        </w:rPr>
      </w:pPr>
    </w:p>
    <w:p>
      <w:pPr>
        <w:rPr>
          <w:rStyle w:val="7"/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未来iCenter将能够培养出一大批适应新生产范式的大批复合型创新人才。在校生参与创新创业的比例增大：人工智能创新创业辅修、“启创计划”等创业培育项目的容量将得到三到五成乃至成倍的扩充；创业协会等科创组织与社团成员数量增加；创业大赛、大创意挑战赛等创新创业赛事参与率提高。将毕业与已毕业的校友创业成果斐然，引领新生产范式下的创新创业新潮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652645"/>
            <wp:effectExtent l="0" t="0" r="11430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影响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7"/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Style w:val="7"/>
          <w:rFonts w:hint="eastAsia"/>
          <w:sz w:val="24"/>
          <w:szCs w:val="24"/>
          <w:lang w:val="en-US" w:eastAsia="zh-CN"/>
        </w:rPr>
        <w:t> 未来iCenter将作为国内教育创客基地的培育教材，辐射影响全国6000+高校，与全国高校开展更多的学习交流活动。改良后的iCenter模式将得到总结推广，并借鉴MIT的Fablab网络模式，在全国各地高校建立iCenter分部基地，形成规模化的创客空间体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7"/>
          <w:rFonts w:hint="default"/>
          <w:sz w:val="24"/>
          <w:szCs w:val="24"/>
          <w:lang w:val="en-US" w:eastAsia="zh-CN"/>
        </w:rPr>
      </w:pPr>
      <w:r>
        <w:rPr>
          <w:rStyle w:val="7"/>
          <w:rFonts w:hint="eastAsia"/>
          <w:sz w:val="24"/>
          <w:szCs w:val="24"/>
          <w:lang w:val="en-US" w:eastAsia="zh-CN"/>
        </w:rPr>
        <w:t> iCenter的创客培育体系也将为其他国家相似背景的高校提供经验。使得iCenter在与国外高校的创客基地的交流中，自身国际影响力得到加强。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drawing>
          <wp:inline distT="0" distB="0" distL="114300" distR="114300">
            <wp:extent cx="4017645" cy="2156460"/>
            <wp:effectExtent l="0" t="0" r="8255" b="2540"/>
            <wp:docPr id="3" name="图片 3" descr="辐射影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辐射影响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E77DD"/>
    <w:rsid w:val="190E4371"/>
    <w:rsid w:val="27FE77DD"/>
    <w:rsid w:val="2F310320"/>
    <w:rsid w:val="3C2E2C30"/>
    <w:rsid w:val="477F4B5F"/>
    <w:rsid w:val="48FC07BE"/>
    <w:rsid w:val="4B647118"/>
    <w:rsid w:val="5B30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6" Type="http://schemas.microsoft.com/office/2011/relationships/chartColorStyle" Target="colors2.xml"/><Relationship Id="rId5" Type="http://schemas.microsoft.com/office/2011/relationships/chartStyle" Target="style2.xml"/><Relationship Id="rId4" Type="http://schemas.openxmlformats.org/officeDocument/2006/relationships/image" Target="../media/image5.png"/><Relationship Id="rId3" Type="http://schemas.openxmlformats.org/officeDocument/2006/relationships/image" Target="../media/image4.png"/><Relationship Id="rId2" Type="http://schemas.openxmlformats.org/officeDocument/2006/relationships/themeOverride" Target="../theme/themeOverride2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6" Type="http://schemas.microsoft.com/office/2011/relationships/chartColorStyle" Target="colors1.xml"/><Relationship Id="rId5" Type="http://schemas.microsoft.com/office/2011/relationships/chartStyle" Target="style1.xml"/><Relationship Id="rId4" Type="http://schemas.openxmlformats.org/officeDocument/2006/relationships/image" Target="../media/image5.png"/><Relationship Id="rId3" Type="http://schemas.openxmlformats.org/officeDocument/2006/relationships/image" Target="../media/image4.png"/><Relationship Id="rId2" Type="http://schemas.openxmlformats.org/officeDocument/2006/relationships/themeOverride" Target="../theme/themeOverrid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376213813332362"/>
          <c:y val="0.255301388888889"/>
          <c:w val="0.933633737583527"/>
          <c:h val="0.62275555555555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[工作簿1]Sheet1!$B$1</c:f>
              <c:strCache>
                <c:ptCount val="1"/>
                <c:pt idx="0">
                  <c:v>目前</c:v>
                </c:pt>
              </c:strCache>
            </c:strRef>
          </c:tx>
          <c:spPr>
            <a:blipFill dpi="0" rotWithShape="1">
              <a:blip xmlns:r="http://schemas.openxmlformats.org/officeDocument/2006/relationships" r:embed="rId3"/>
              <a:srcRect/>
              <a:tile tx="0" ty="0" sx="100000" sy="100000" flip="xy" algn="t"/>
            </a:blip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[工作簿1]Sheet1!$A$2:$A$4</c:f>
              <c:strCache>
                <c:ptCount val="3"/>
                <c:pt idx="0">
                  <c:v>课程覆盖人数</c:v>
                </c:pt>
                <c:pt idx="1">
                  <c:v>参与科创活动人数</c:v>
                </c:pt>
                <c:pt idx="2">
                  <c:v>创客团队人数</c:v>
                </c:pt>
              </c:strCache>
            </c:strRef>
          </c:cat>
          <c:val>
            <c:numRef>
              <c:f>[工作簿1]Sheet1!$B$2:$B$4</c:f>
              <c:numCache>
                <c:formatCode>General</c:formatCode>
                <c:ptCount val="3"/>
                <c:pt idx="0">
                  <c:v>2000</c:v>
                </c:pt>
                <c:pt idx="1">
                  <c:v>1000</c:v>
                </c:pt>
                <c:pt idx="2">
                  <c:v>500</c:v>
                </c:pt>
              </c:numCache>
            </c:numRef>
          </c:val>
        </c:ser>
        <c:ser>
          <c:idx val="1"/>
          <c:order val="1"/>
          <c:tx>
            <c:strRef>
              <c:f>[工作簿1]Sheet1!$C$1</c:f>
              <c:strCache>
                <c:ptCount val="1"/>
                <c:pt idx="0">
                  <c:v>预期</c:v>
                </c:pt>
              </c:strCache>
            </c:strRef>
          </c:tx>
          <c:spPr>
            <a:blipFill dpi="0" rotWithShape="1">
              <a:blip xmlns:r="http://schemas.openxmlformats.org/officeDocument/2006/relationships" r:embed="rId4"/>
              <a:srcRect/>
              <a:tile tx="0" ty="0" sx="100000" sy="100000" flip="xy" algn="t"/>
            </a:blip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[工作簿1]Sheet1!$A$2:$A$4</c:f>
              <c:strCache>
                <c:ptCount val="3"/>
                <c:pt idx="0">
                  <c:v>课程覆盖人数</c:v>
                </c:pt>
                <c:pt idx="1">
                  <c:v>参与科创活动人数</c:v>
                </c:pt>
                <c:pt idx="2">
                  <c:v>创客团队人数</c:v>
                </c:pt>
              </c:strCache>
            </c:strRef>
          </c:cat>
          <c:val>
            <c:numRef>
              <c:f>[工作簿1]Sheet1!$C$2:$C$4</c:f>
              <c:numCache>
                <c:formatCode>General</c:formatCode>
                <c:ptCount val="3"/>
                <c:pt idx="0">
                  <c:v>4000</c:v>
                </c:pt>
                <c:pt idx="1">
                  <c:v>6000</c:v>
                </c:pt>
                <c:pt idx="2">
                  <c:v>2000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10"/>
        <c:axId val="526704997"/>
        <c:axId val="981461017"/>
      </c:barChart>
      <c:catAx>
        <c:axId val="526704997"/>
        <c:scaling>
          <c:orientation val="minMax"/>
        </c:scaling>
        <c:delete val="0"/>
        <c:axPos val="b"/>
        <c:majorGridlines>
          <c:spPr>
            <a:ln w="317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19050" cap="flat" cmpd="sng" algn="ctr">
            <a:solidFill>
              <a:sysClr val="window" lastClr="FFFFFF">
                <a:lumMod val="65000"/>
              </a:sys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cap="none" spc="0" normalizeH="0" baseline="0">
                <a:solidFill>
                  <a:schemeClr val="bg1">
                    <a:lumMod val="6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1461017"/>
        <c:crosses val="autoZero"/>
        <c:auto val="1"/>
        <c:lblAlgn val="ctr"/>
        <c:lblOffset val="100"/>
        <c:noMultiLvlLbl val="0"/>
      </c:catAx>
      <c:valAx>
        <c:axId val="98146101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bg1">
                    <a:lumMod val="6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26704997"/>
        <c:crosses val="autoZero"/>
        <c:crossBetween val="between"/>
      </c:valAx>
      <c:spPr>
        <a:pattFill prst="ltDnDiag">
          <a:fgClr>
            <a:srgbClr val="000000">
              <a:alpha val="0"/>
            </a:srgbClr>
          </a:fgClr>
          <a:bgClr>
            <a:srgbClr val="FFFFFF"/>
          </a:bgClr>
        </a:pattFill>
        <a:ln w="3175">
          <a:solidFill>
            <a:sysClr val="window" lastClr="FFFFFF"/>
          </a:solidFill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bg1">
                  <a:lumMod val="6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>
          <a:solidFill>
            <a:schemeClr val="bg1">
              <a:lumMod val="65000"/>
            </a:schemeClr>
          </a:solidFill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376213813332362"/>
          <c:y val="0.255301388888889"/>
          <c:w val="0.933633737583527"/>
          <c:h val="0.62275555555555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[工作簿1]Sheet1!$B$6</c:f>
              <c:strCache>
                <c:ptCount val="1"/>
                <c:pt idx="0">
                  <c:v>目前</c:v>
                </c:pt>
              </c:strCache>
            </c:strRef>
          </c:tx>
          <c:spPr>
            <a:blipFill dpi="0" rotWithShape="1">
              <a:blip xmlns:r="http://schemas.openxmlformats.org/officeDocument/2006/relationships" r:embed="rId3"/>
              <a:srcRect/>
              <a:tile tx="0" ty="0" sx="100000" sy="100000" flip="xy" algn="t"/>
            </a:blip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[工作簿1]Sheet1!$A$7:$A$11</c:f>
              <c:strCache>
                <c:ptCount val="5"/>
                <c:pt idx="0">
                  <c:v>工作坊数量</c:v>
                </c:pt>
                <c:pt idx="1">
                  <c:v>科创讲座数量</c:v>
                </c:pt>
                <c:pt idx="2">
                  <c:v>科创比赛数量</c:v>
                </c:pt>
                <c:pt idx="3">
                  <c:v>SRT项目数量</c:v>
                </c:pt>
                <c:pt idx="4">
                  <c:v>落地项目数量</c:v>
                </c:pt>
              </c:strCache>
            </c:strRef>
          </c:cat>
          <c:val>
            <c:numRef>
              <c:f>[工作簿1]Sheet1!$B$7:$B$11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15</c:v>
                </c:pt>
                <c:pt idx="3">
                  <c:v>13</c:v>
                </c:pt>
                <c:pt idx="4">
                  <c:v>8</c:v>
                </c:pt>
              </c:numCache>
            </c:numRef>
          </c:val>
        </c:ser>
        <c:ser>
          <c:idx val="1"/>
          <c:order val="1"/>
          <c:tx>
            <c:strRef>
              <c:f>[工作簿1]Sheet1!$C$6</c:f>
              <c:strCache>
                <c:ptCount val="1"/>
                <c:pt idx="0">
                  <c:v>预期</c:v>
                </c:pt>
              </c:strCache>
            </c:strRef>
          </c:tx>
          <c:spPr>
            <a:blipFill dpi="0" rotWithShape="1">
              <a:blip xmlns:r="http://schemas.openxmlformats.org/officeDocument/2006/relationships" r:embed="rId4"/>
              <a:srcRect/>
              <a:tile tx="0" ty="0" sx="100000" sy="100000" flip="xy" algn="t"/>
            </a:blip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[工作簿1]Sheet1!$A$7:$A$11</c:f>
              <c:strCache>
                <c:ptCount val="5"/>
                <c:pt idx="0">
                  <c:v>工作坊数量</c:v>
                </c:pt>
                <c:pt idx="1">
                  <c:v>科创讲座数量</c:v>
                </c:pt>
                <c:pt idx="2">
                  <c:v>科创比赛数量</c:v>
                </c:pt>
                <c:pt idx="3">
                  <c:v>SRT项目数量</c:v>
                </c:pt>
                <c:pt idx="4">
                  <c:v>落地项目数量</c:v>
                </c:pt>
              </c:strCache>
            </c:strRef>
          </c:cat>
          <c:val>
            <c:numRef>
              <c:f>[工作簿1]Sheet1!$C$7:$C$11</c:f>
              <c:numCache>
                <c:formatCode>General</c:formatCode>
                <c:ptCount val="5"/>
                <c:pt idx="0">
                  <c:v>60</c:v>
                </c:pt>
                <c:pt idx="1">
                  <c:v>90</c:v>
                </c:pt>
                <c:pt idx="2">
                  <c:v>40</c:v>
                </c:pt>
                <c:pt idx="3">
                  <c:v>30</c:v>
                </c:pt>
                <c:pt idx="4">
                  <c:v>25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10"/>
        <c:axId val="761942838"/>
        <c:axId val="183017654"/>
      </c:barChart>
      <c:catAx>
        <c:axId val="761942838"/>
        <c:scaling>
          <c:orientation val="minMax"/>
        </c:scaling>
        <c:delete val="0"/>
        <c:axPos val="b"/>
        <c:majorGridlines>
          <c:spPr>
            <a:ln w="317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19050" cap="flat" cmpd="sng" algn="ctr">
            <a:solidFill>
              <a:sysClr val="window" lastClr="FFFFFF">
                <a:lumMod val="65000"/>
              </a:sys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cap="none" spc="0" normalizeH="0" baseline="0">
                <a:solidFill>
                  <a:schemeClr val="bg1">
                    <a:lumMod val="6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3017654"/>
        <c:crosses val="autoZero"/>
        <c:auto val="1"/>
        <c:lblAlgn val="ctr"/>
        <c:lblOffset val="100"/>
        <c:noMultiLvlLbl val="0"/>
      </c:catAx>
      <c:valAx>
        <c:axId val="18301765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bg1">
                    <a:lumMod val="6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1942838"/>
        <c:crosses val="autoZero"/>
        <c:crossBetween val="between"/>
      </c:valAx>
      <c:spPr>
        <a:pattFill prst="ltDnDiag">
          <a:fgClr>
            <a:srgbClr val="000000">
              <a:alpha val="0"/>
            </a:srgbClr>
          </a:fgClr>
          <a:bgClr>
            <a:srgbClr val="FFFFFF"/>
          </a:bgClr>
        </a:pattFill>
        <a:ln w="3175">
          <a:solidFill>
            <a:sysClr val="window" lastClr="FFFFFF"/>
          </a:solidFill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bg1">
                  <a:lumMod val="6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lang="zh-CN">
          <a:solidFill>
            <a:schemeClr val="bg1">
              <a:lumMod val="65000"/>
            </a:schemeClr>
          </a:solidFill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自定义 6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FDAE49"/>
    </a:accent1>
    <a:accent2>
      <a:srgbClr val="F37F60"/>
    </a:accent2>
    <a:accent3>
      <a:srgbClr val="54BDCB"/>
    </a:accent3>
    <a:accent4>
      <a:srgbClr val="B87C7A"/>
    </a:accent4>
    <a:accent5>
      <a:srgbClr val="D26F8E"/>
    </a:accent5>
    <a:accent6>
      <a:srgbClr val="576F85"/>
    </a:accent6>
    <a:hlink>
      <a:srgbClr val="A8C254"/>
    </a:hlink>
    <a:folHlink>
      <a:srgbClr val="559DC9"/>
    </a:folHlink>
  </a:clrScheme>
  <a:fontScheme name="自定义 2">
    <a:majorFont>
      <a:latin typeface="Calibri Light"/>
      <a:ea typeface="微软雅黑"/>
      <a:cs typeface=""/>
    </a:majorFont>
    <a:minorFont>
      <a:latin typeface="Calibri"/>
      <a:ea typeface="微软雅黑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自定义 6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FDAE49"/>
    </a:accent1>
    <a:accent2>
      <a:srgbClr val="F37F60"/>
    </a:accent2>
    <a:accent3>
      <a:srgbClr val="54BDCB"/>
    </a:accent3>
    <a:accent4>
      <a:srgbClr val="B87C7A"/>
    </a:accent4>
    <a:accent5>
      <a:srgbClr val="D26F8E"/>
    </a:accent5>
    <a:accent6>
      <a:srgbClr val="576F85"/>
    </a:accent6>
    <a:hlink>
      <a:srgbClr val="A8C254"/>
    </a:hlink>
    <a:folHlink>
      <a:srgbClr val="559DC9"/>
    </a:folHlink>
  </a:clrScheme>
  <a:fontScheme name="自定义 2">
    <a:majorFont>
      <a:latin typeface="Calibri Light"/>
      <a:ea typeface="微软雅黑"/>
      <a:cs typeface=""/>
    </a:majorFont>
    <a:minorFont>
      <a:latin typeface="Calibri"/>
      <a:ea typeface="微软雅黑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2019-10-19T08:13:00Z</dcterms:created>
  <dc:creator>绝寰</dc:creator>
  <cp:lastModifiedBy>绝寰</cp:lastModifiedBy>
  <dcterms:modified xsi:type="dcterms:W3CDTF">2019-10-19T15:09:44Z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