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子任务算法需求模板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该文档对应1个子任务，如有多个子任务，则每个子任务填写1份该文档。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任务背景与目标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简述该任务用于什么场景、希望解决什么问题、带来什么结果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关联团队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该任务需求方、执行方、验收方、使用方等负责人信息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任务格式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输入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1980"/>
        <w:gridCol w:w="4035"/>
        <w:gridCol w:w="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参数类型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（文本、图像等）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参数示例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3.2 </w:t>
      </w:r>
      <w:r>
        <w:rPr>
          <w:rFonts w:eastAsia="等线" w:ascii="Arial" w:cs="Arial" w:hAnsi="Arial"/>
          <w:b w:val="true"/>
          <w:sz w:val="28"/>
        </w:rPr>
        <w:t>输出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1980"/>
        <w:gridCol w:w="4035"/>
        <w:gridCol w:w="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参数类型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（文本、图像等）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参数示例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3.3 </w:t>
      </w:r>
      <w:r>
        <w:rPr>
          <w:rFonts w:eastAsia="等线" w:ascii="Arial" w:cs="Arial" w:hAnsi="Arial"/>
          <w:b w:val="true"/>
          <w:sz w:val="28"/>
        </w:rPr>
        <w:t>样本示例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一个真实的输入、输出样本的例子。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输入数据结构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输出数据结构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数据 &amp; 其他材料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4.1 </w:t>
      </w:r>
      <w:r>
        <w:rPr>
          <w:rFonts w:eastAsia="等线" w:ascii="Arial" w:cs="Arial" w:hAnsi="Arial"/>
          <w:b w:val="true"/>
          <w:sz w:val="28"/>
        </w:rPr>
        <w:t>待跑测数据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优先为已标注的测试集，如有需要，可补充垂类训练集、预训练语料等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4.2 </w:t>
      </w:r>
      <w:r>
        <w:rPr>
          <w:rFonts w:eastAsia="等线" w:ascii="Arial" w:cs="Arial" w:hAnsi="Arial"/>
          <w:b w:val="true"/>
          <w:sz w:val="28"/>
        </w:rPr>
        <w:t>补充材料及说明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需要补充的知识、规则、专家经验、注意事项等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评价方法 &amp; 指标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用什么方法评估、统计跑测结果；注意指标部分，需注明现有指标（如果是从零建设，现有指标填“无”）及预期达到的指标，预期部分又可以细分出PoC阶段（Demo）、正式版1期、正式版2期等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其他说明</w:t>
      </w:r>
      <w:bookmarkEnd w:id="10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2026-03-11T05:30:43Z</dcterms:created>
  <dc:creator>Apache POI</dc:creator>
</cp:coreProperties>
</file>