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70" w:rsidRDefault="00D72970" w:rsidP="007B7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期货绩效归因分析</w:t>
      </w:r>
    </w:p>
    <w:p w:rsidR="00D72970" w:rsidRPr="00FB4506" w:rsidRDefault="00D72970" w:rsidP="007B71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B4506">
        <w:rPr>
          <w:rFonts w:hint="eastAsia"/>
          <w:sz w:val="24"/>
          <w:szCs w:val="24"/>
        </w:rPr>
        <w:t>总体期货绩效归因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2970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资产分类</w:t>
            </w:r>
          </w:p>
        </w:tc>
        <w:tc>
          <w:tcPr>
            <w:tcW w:w="2074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权重（占净值比）</w:t>
            </w:r>
          </w:p>
        </w:tc>
        <w:tc>
          <w:tcPr>
            <w:tcW w:w="2074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净值贡献度</w:t>
            </w:r>
          </w:p>
        </w:tc>
        <w:tc>
          <w:tcPr>
            <w:tcW w:w="2074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收益率</w:t>
            </w: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股指期货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商品期货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国债期货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汇总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72970" w:rsidRDefault="00D72970" w:rsidP="007B71E8">
      <w:pPr>
        <w:rPr>
          <w:szCs w:val="21"/>
        </w:rPr>
      </w:pPr>
      <w:r>
        <w:rPr>
          <w:noProof/>
        </w:rPr>
        <w:drawing>
          <wp:inline distT="0" distB="0" distL="0" distR="0" wp14:anchorId="6353E93E" wp14:editId="2527E5E9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72970" w:rsidRPr="00FB4506" w:rsidRDefault="00D72970" w:rsidP="007B71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商品</w:t>
      </w:r>
      <w:r w:rsidRPr="00FB4506">
        <w:rPr>
          <w:rFonts w:hint="eastAsia"/>
          <w:sz w:val="24"/>
          <w:szCs w:val="24"/>
        </w:rPr>
        <w:t>期货绩效归因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2970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资产分类</w:t>
            </w:r>
          </w:p>
        </w:tc>
        <w:tc>
          <w:tcPr>
            <w:tcW w:w="2074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权重（占净值比）</w:t>
            </w:r>
          </w:p>
        </w:tc>
        <w:tc>
          <w:tcPr>
            <w:tcW w:w="2074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净值贡献度</w:t>
            </w:r>
          </w:p>
        </w:tc>
        <w:tc>
          <w:tcPr>
            <w:tcW w:w="2074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收益率</w:t>
            </w: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工业品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谷物板块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油脂板块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软商板块</w:t>
            </w:r>
            <w:proofErr w:type="gramEnd"/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有色板块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建材板块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化工板块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汇总</w:t>
            </w: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074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72970" w:rsidRPr="00733B98" w:rsidRDefault="00D72970" w:rsidP="007B71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品种</w:t>
      </w:r>
      <w:r w:rsidRPr="00FB4506">
        <w:rPr>
          <w:rFonts w:hint="eastAsia"/>
          <w:sz w:val="24"/>
          <w:szCs w:val="24"/>
        </w:rPr>
        <w:t>归因</w:t>
      </w:r>
      <w:r>
        <w:rPr>
          <w:rFonts w:hint="eastAsia"/>
          <w:sz w:val="24"/>
          <w:szCs w:val="24"/>
        </w:rPr>
        <w:t>分析</w:t>
      </w:r>
    </w:p>
    <w:p w:rsidR="00D72970" w:rsidRDefault="00D72970" w:rsidP="007B71E8">
      <w:pPr>
        <w:rPr>
          <w:szCs w:val="21"/>
        </w:rPr>
      </w:pPr>
      <w:r>
        <w:rPr>
          <w:rFonts w:hint="eastAsia"/>
          <w:szCs w:val="21"/>
        </w:rPr>
        <w:t>十大盈利</w:t>
      </w:r>
    </w:p>
    <w:tbl>
      <w:tblPr>
        <w:tblStyle w:val="2"/>
        <w:tblW w:w="8505" w:type="dxa"/>
        <w:tblLook w:val="04A0" w:firstRow="1" w:lastRow="0" w:firstColumn="1" w:lastColumn="0" w:noHBand="0" w:noVBand="1"/>
      </w:tblPr>
      <w:tblGrid>
        <w:gridCol w:w="1672"/>
        <w:gridCol w:w="1671"/>
        <w:gridCol w:w="1671"/>
        <w:gridCol w:w="1671"/>
        <w:gridCol w:w="1820"/>
      </w:tblGrid>
      <w:tr w:rsidR="00D72970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  <w:tc>
          <w:tcPr>
            <w:tcW w:w="1671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合约名称</w:t>
            </w:r>
          </w:p>
        </w:tc>
        <w:tc>
          <w:tcPr>
            <w:tcW w:w="1671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多空标志</w:t>
            </w:r>
          </w:p>
        </w:tc>
        <w:tc>
          <w:tcPr>
            <w:tcW w:w="1671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贡献度</w:t>
            </w:r>
          </w:p>
        </w:tc>
        <w:tc>
          <w:tcPr>
            <w:tcW w:w="1820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收益额（万元）</w:t>
            </w: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lf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lc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ru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ag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th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r>
              <w:rPr>
                <w:szCs w:val="21"/>
              </w:rPr>
              <w:t>al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r>
              <w:rPr>
                <w:szCs w:val="21"/>
              </w:rPr>
              <w:t>cu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sn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t>fu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t>rb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72970" w:rsidRDefault="00D72970" w:rsidP="007B71E8">
      <w:pPr>
        <w:rPr>
          <w:szCs w:val="21"/>
        </w:rPr>
      </w:pPr>
      <w:r>
        <w:rPr>
          <w:noProof/>
        </w:rPr>
        <w:drawing>
          <wp:inline distT="0" distB="0" distL="0" distR="0" wp14:anchorId="06ABF530" wp14:editId="0DE9E83D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2970" w:rsidRDefault="00D72970" w:rsidP="007B71E8">
      <w:pPr>
        <w:rPr>
          <w:szCs w:val="21"/>
        </w:rPr>
      </w:pPr>
      <w:r>
        <w:rPr>
          <w:szCs w:val="21"/>
        </w:rPr>
        <w:t>十大亏损</w:t>
      </w:r>
    </w:p>
    <w:tbl>
      <w:tblPr>
        <w:tblStyle w:val="2"/>
        <w:tblW w:w="8505" w:type="dxa"/>
        <w:tblLook w:val="04A0" w:firstRow="1" w:lastRow="0" w:firstColumn="1" w:lastColumn="0" w:noHBand="0" w:noVBand="1"/>
      </w:tblPr>
      <w:tblGrid>
        <w:gridCol w:w="1672"/>
        <w:gridCol w:w="1671"/>
        <w:gridCol w:w="1671"/>
        <w:gridCol w:w="1671"/>
        <w:gridCol w:w="1820"/>
      </w:tblGrid>
      <w:tr w:rsidR="00D72970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品种</w:t>
            </w:r>
          </w:p>
        </w:tc>
        <w:tc>
          <w:tcPr>
            <w:tcW w:w="1671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合约名称</w:t>
            </w:r>
          </w:p>
        </w:tc>
        <w:tc>
          <w:tcPr>
            <w:tcW w:w="1671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多空标志</w:t>
            </w:r>
          </w:p>
        </w:tc>
        <w:tc>
          <w:tcPr>
            <w:tcW w:w="1671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贡献度</w:t>
            </w:r>
          </w:p>
        </w:tc>
        <w:tc>
          <w:tcPr>
            <w:tcW w:w="1820" w:type="dxa"/>
          </w:tcPr>
          <w:p w:rsidR="00D72970" w:rsidRDefault="00D72970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收益额（万元）</w:t>
            </w: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pb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ta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tr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j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t>bj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r>
              <w:rPr>
                <w:szCs w:val="21"/>
              </w:rPr>
              <w:t>bb</w:t>
            </w: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t>pp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72970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:rsidR="00D72970" w:rsidRDefault="00D72970" w:rsidP="007B71E8">
            <w:pPr>
              <w:jc w:val="center"/>
              <w:rPr>
                <w:caps/>
                <w:szCs w:val="21"/>
              </w:rPr>
            </w:pPr>
            <w:proofErr w:type="spellStart"/>
            <w:r>
              <w:rPr>
                <w:szCs w:val="21"/>
              </w:rPr>
              <w:t>jd</w:t>
            </w:r>
            <w:proofErr w:type="spellEnd"/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71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20" w:type="dxa"/>
          </w:tcPr>
          <w:p w:rsidR="00D72970" w:rsidRDefault="00D72970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72970" w:rsidRDefault="00D72970" w:rsidP="007B71E8">
      <w:pPr>
        <w:rPr>
          <w:szCs w:val="21"/>
        </w:rPr>
      </w:pPr>
      <w:r>
        <w:rPr>
          <w:noProof/>
        </w:rPr>
        <w:drawing>
          <wp:inline distT="0" distB="0" distL="0" distR="0" wp14:anchorId="617F2FAB" wp14:editId="6754A635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2970" w:rsidRPr="00112E3D" w:rsidRDefault="00D72970" w:rsidP="007B71E8">
      <w:pPr>
        <w:rPr>
          <w:szCs w:val="21"/>
        </w:rPr>
      </w:pPr>
    </w:p>
    <w:p w:rsidR="00D72970" w:rsidRDefault="00D72970" w:rsidP="007B71E8">
      <w:pPr>
        <w:rPr>
          <w:b/>
          <w:sz w:val="28"/>
          <w:szCs w:val="28"/>
        </w:rPr>
      </w:pPr>
    </w:p>
    <w:p w:rsidR="00B62702" w:rsidRDefault="00E41FDA" w:rsidP="007B7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债券绩效分析</w:t>
      </w:r>
    </w:p>
    <w:p w:rsidR="00E41FDA" w:rsidRPr="00E41FDA" w:rsidRDefault="00E41FDA" w:rsidP="007B71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41FDA">
        <w:rPr>
          <w:rFonts w:hint="eastAsia"/>
          <w:sz w:val="24"/>
          <w:szCs w:val="24"/>
        </w:rPr>
        <w:t>国债收益率曲线（到期）</w:t>
      </w:r>
    </w:p>
    <w:tbl>
      <w:tblPr>
        <w:tblStyle w:val="2"/>
        <w:tblW w:w="9571" w:type="dxa"/>
        <w:tblLook w:val="04A0" w:firstRow="1" w:lastRow="0" w:firstColumn="1" w:lastColumn="0" w:noHBand="0" w:noVBand="1"/>
      </w:tblPr>
      <w:tblGrid>
        <w:gridCol w:w="627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</w:tblGrid>
      <w:tr w:rsidR="00E41FDA" w:rsidRPr="00E41FDA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E41FDA" w:rsidRPr="00E41FDA" w:rsidRDefault="00E41FDA" w:rsidP="007B71E8">
            <w:pPr>
              <w:rPr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0</w:t>
            </w:r>
            <w:r w:rsidRPr="00E41FDA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1</w:t>
            </w:r>
            <w:r w:rsidRPr="00E41FDA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2</w:t>
            </w:r>
            <w:r w:rsidRPr="00E41FDA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3</w:t>
            </w:r>
            <w:r w:rsidRPr="00E41FDA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6</w:t>
            </w:r>
            <w:r w:rsidRPr="00E41FDA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9</w:t>
            </w:r>
            <w:r w:rsidRPr="00E41FDA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1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3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5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7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10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15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20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30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40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50</w:t>
            </w:r>
            <w:r w:rsidRPr="00E41FDA">
              <w:rPr>
                <w:rFonts w:hint="eastAsia"/>
                <w:sz w:val="15"/>
                <w:szCs w:val="15"/>
              </w:rPr>
              <w:t>年</w:t>
            </w:r>
          </w:p>
        </w:tc>
      </w:tr>
      <w:tr w:rsidR="00E41FDA" w:rsidRPr="00E41FDA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E41FDA" w:rsidRPr="00E41FDA" w:rsidRDefault="00E41FDA" w:rsidP="007B71E8">
            <w:pPr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期初（</w:t>
            </w:r>
            <w:r w:rsidRPr="00E41FDA">
              <w:rPr>
                <w:rFonts w:hint="eastAsia"/>
                <w:sz w:val="15"/>
                <w:szCs w:val="15"/>
              </w:rPr>
              <w:t>%</w:t>
            </w:r>
            <w:r w:rsidRPr="00E41FDA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</w:tr>
      <w:tr w:rsidR="00E41FDA" w:rsidRPr="00E41FDA" w:rsidTr="00D7297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E41FDA" w:rsidRPr="00E41FDA" w:rsidRDefault="00E41FDA" w:rsidP="007B71E8">
            <w:pPr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期末（</w:t>
            </w:r>
            <w:r w:rsidRPr="00E41FDA">
              <w:rPr>
                <w:rFonts w:hint="eastAsia"/>
                <w:sz w:val="15"/>
                <w:szCs w:val="15"/>
              </w:rPr>
              <w:t>%</w:t>
            </w:r>
            <w:r w:rsidRPr="00E41FDA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</w:tr>
      <w:tr w:rsidR="00E41FDA" w:rsidRPr="00E41FDA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:rsidR="00E41FDA" w:rsidRPr="00E41FDA" w:rsidRDefault="00E41FDA" w:rsidP="007B71E8">
            <w:pPr>
              <w:rPr>
                <w:sz w:val="15"/>
                <w:szCs w:val="15"/>
              </w:rPr>
            </w:pPr>
            <w:r w:rsidRPr="00E41FDA">
              <w:rPr>
                <w:rFonts w:hint="eastAsia"/>
                <w:sz w:val="15"/>
                <w:szCs w:val="15"/>
              </w:rPr>
              <w:t>期间变化（</w:t>
            </w:r>
            <w:r w:rsidRPr="00E41FDA">
              <w:rPr>
                <w:rFonts w:hint="eastAsia"/>
                <w:sz w:val="15"/>
                <w:szCs w:val="15"/>
              </w:rPr>
              <w:t>%</w:t>
            </w:r>
            <w:r w:rsidRPr="00E41FDA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  <w:tc>
          <w:tcPr>
            <w:tcW w:w="559" w:type="dxa"/>
          </w:tcPr>
          <w:p w:rsidR="00E41FDA" w:rsidRPr="00E41FDA" w:rsidRDefault="00E41FDA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szCs w:val="15"/>
              </w:rPr>
            </w:pPr>
          </w:p>
        </w:tc>
      </w:tr>
    </w:tbl>
    <w:p w:rsidR="00E41FDA" w:rsidRDefault="00DA2923" w:rsidP="007B71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B2220B" wp14:editId="2250F152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2923" w:rsidRPr="00C8345F" w:rsidRDefault="00C8345F" w:rsidP="007B71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345F">
        <w:rPr>
          <w:rFonts w:hint="eastAsia"/>
          <w:sz w:val="24"/>
          <w:szCs w:val="24"/>
        </w:rPr>
        <w:t>归因分析</w:t>
      </w:r>
    </w:p>
    <w:tbl>
      <w:tblPr>
        <w:tblStyle w:val="1"/>
        <w:tblW w:w="11810" w:type="dxa"/>
        <w:tblInd w:w="-1745" w:type="dxa"/>
        <w:tblLook w:val="04A0" w:firstRow="1" w:lastRow="0" w:firstColumn="1" w:lastColumn="0" w:noHBand="0" w:noVBand="1"/>
      </w:tblPr>
      <w:tblGrid>
        <w:gridCol w:w="1745"/>
        <w:gridCol w:w="137"/>
        <w:gridCol w:w="1418"/>
        <w:gridCol w:w="283"/>
        <w:gridCol w:w="856"/>
        <w:gridCol w:w="1275"/>
        <w:gridCol w:w="284"/>
        <w:gridCol w:w="709"/>
        <w:gridCol w:w="1134"/>
        <w:gridCol w:w="141"/>
        <w:gridCol w:w="851"/>
        <w:gridCol w:w="709"/>
        <w:gridCol w:w="425"/>
        <w:gridCol w:w="850"/>
        <w:gridCol w:w="562"/>
        <w:gridCol w:w="431"/>
      </w:tblGrid>
      <w:tr w:rsidR="00E44FFD" w:rsidRPr="00E44FFD" w:rsidTr="00EA39AE">
        <w:trPr>
          <w:gridBefore w:val="1"/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vMerge w:val="restart"/>
            <w:noWrap/>
            <w:hideMark/>
          </w:tcPr>
          <w:p w:rsidR="00E44FFD" w:rsidRPr="00E44FFD" w:rsidRDefault="00E44FFD" w:rsidP="007B71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券种</w:t>
            </w:r>
          </w:p>
        </w:tc>
        <w:tc>
          <w:tcPr>
            <w:tcW w:w="3124" w:type="dxa"/>
            <w:gridSpan w:val="4"/>
            <w:noWrap/>
            <w:hideMark/>
          </w:tcPr>
          <w:p w:rsidR="00E44FFD" w:rsidRPr="00E44FFD" w:rsidRDefault="00E44FFD" w:rsidP="007B71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投资组合</w:t>
            </w:r>
          </w:p>
        </w:tc>
        <w:tc>
          <w:tcPr>
            <w:tcW w:w="3260" w:type="dxa"/>
            <w:gridSpan w:val="5"/>
            <w:noWrap/>
            <w:hideMark/>
          </w:tcPr>
          <w:p w:rsidR="00E44FFD" w:rsidRPr="00E44FFD" w:rsidRDefault="00E44FFD" w:rsidP="007B71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参考基准</w:t>
            </w:r>
          </w:p>
        </w:tc>
        <w:tc>
          <w:tcPr>
            <w:tcW w:w="1412" w:type="dxa"/>
            <w:gridSpan w:val="2"/>
            <w:vMerge w:val="restart"/>
            <w:noWrap/>
            <w:hideMark/>
          </w:tcPr>
          <w:p w:rsidR="00E44FFD" w:rsidRPr="00E44FFD" w:rsidRDefault="00E44FFD" w:rsidP="007B71E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超额收益率</w:t>
            </w:r>
          </w:p>
        </w:tc>
      </w:tr>
      <w:tr w:rsidR="00494317" w:rsidRPr="00E44062" w:rsidTr="00EA39AE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vMerge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权重</w:t>
            </w: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修正久期</w:t>
            </w:r>
            <w:proofErr w:type="gramEnd"/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收益率</w:t>
            </w: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资产配置</w:t>
            </w: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收益率</w:t>
            </w: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A39AE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06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交互作用</w:t>
            </w:r>
          </w:p>
        </w:tc>
        <w:tc>
          <w:tcPr>
            <w:tcW w:w="1412" w:type="dxa"/>
            <w:gridSpan w:val="2"/>
            <w:vMerge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494317" w:rsidRPr="00E44062" w:rsidTr="00EA39AE">
        <w:trPr>
          <w:gridBefore w:val="1"/>
          <w:gridAfter w:val="1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noWrap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国债</w:t>
            </w: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1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94317" w:rsidRPr="00E44062" w:rsidTr="00EA39AE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noWrap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金融债</w:t>
            </w: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1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94317" w:rsidRPr="00E44062" w:rsidTr="00EA39AE">
        <w:trPr>
          <w:gridBefore w:val="1"/>
          <w:gridAfter w:val="1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noWrap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企业债及公司债</w:t>
            </w: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1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94317" w:rsidRPr="00E44062" w:rsidTr="00EA39AE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noWrap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E44FFD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资产</w:t>
            </w:r>
            <w:r w:rsidR="00DA0BE7" w:rsidRPr="00E4406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资产</w:t>
            </w:r>
            <w:proofErr w:type="gramEnd"/>
            <w:r w:rsidRPr="00E44FFD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证券</w:t>
            </w: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1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94317" w:rsidRPr="00E44062" w:rsidTr="00EA39AE">
        <w:trPr>
          <w:gridBefore w:val="1"/>
          <w:gridAfter w:val="1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noWrap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其他券种</w:t>
            </w: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1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494317" w:rsidRPr="00E44062" w:rsidTr="00EA39AE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745" w:type="dxa"/>
          <w:wAfter w:w="431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3"/>
            <w:noWrap/>
            <w:hideMark/>
          </w:tcPr>
          <w:p w:rsidR="00E44FFD" w:rsidRPr="00E44FFD" w:rsidRDefault="00E44FFD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FF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6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412" w:type="dxa"/>
            <w:gridSpan w:val="2"/>
            <w:noWrap/>
            <w:hideMark/>
          </w:tcPr>
          <w:p w:rsidR="00E44FFD" w:rsidRPr="00E44FFD" w:rsidRDefault="00E44FFD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C299C" w:rsidRPr="00FC299C" w:rsidTr="00EA39A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vMerge w:val="restart"/>
            <w:noWrap/>
            <w:hideMark/>
          </w:tcPr>
          <w:p w:rsidR="00FC299C" w:rsidRPr="00FC299C" w:rsidRDefault="00FC299C" w:rsidP="007B71E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券种</w:t>
            </w:r>
          </w:p>
        </w:tc>
        <w:tc>
          <w:tcPr>
            <w:tcW w:w="1418" w:type="dxa"/>
            <w:vMerge w:val="restart"/>
            <w:noWrap/>
            <w:hideMark/>
          </w:tcPr>
          <w:p w:rsidR="00FC299C" w:rsidRPr="00FC299C" w:rsidRDefault="00FC299C" w:rsidP="007B71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超额收益率</w:t>
            </w:r>
          </w:p>
        </w:tc>
        <w:tc>
          <w:tcPr>
            <w:tcW w:w="8510" w:type="dxa"/>
            <w:gridSpan w:val="13"/>
            <w:noWrap/>
            <w:hideMark/>
          </w:tcPr>
          <w:p w:rsidR="00FC299C" w:rsidRPr="00FC299C" w:rsidRDefault="00FC299C" w:rsidP="007B71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参考基准</w:t>
            </w:r>
          </w:p>
        </w:tc>
      </w:tr>
      <w:tr w:rsidR="00FC299C" w:rsidRPr="00FC299C" w:rsidTr="00EA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vMerge/>
            <w:hideMark/>
          </w:tcPr>
          <w:p w:rsidR="00FC299C" w:rsidRPr="00FC299C" w:rsidRDefault="00FC299C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vMerge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持有收益</w:t>
            </w: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久期收益</w:t>
            </w:r>
            <w:proofErr w:type="gramEnd"/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(%)</w:t>
            </w: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06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期限</w:t>
            </w: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结构配置收益(%)</w:t>
            </w: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44062">
              <w:rPr>
                <w:rFonts w:ascii="宋体" w:eastAsia="宋体" w:hAnsi="宋体" w:cs="宋体" w:hint="eastAsia"/>
                <w:kern w:val="0"/>
                <w:szCs w:val="21"/>
              </w:rPr>
              <w:t>权重</w:t>
            </w:r>
            <w:r w:rsidRPr="00FC299C">
              <w:rPr>
                <w:rFonts w:ascii="宋体" w:eastAsia="宋体" w:hAnsi="宋体" w:cs="宋体" w:hint="eastAsia"/>
                <w:kern w:val="0"/>
                <w:szCs w:val="21"/>
              </w:rPr>
              <w:t>配置收益</w:t>
            </w: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E44062">
              <w:rPr>
                <w:rFonts w:ascii="宋体" w:eastAsia="宋体" w:hAnsi="宋体" w:cs="宋体" w:hint="eastAsia"/>
                <w:kern w:val="0"/>
                <w:szCs w:val="21"/>
              </w:rPr>
              <w:t>个券</w:t>
            </w:r>
            <w:proofErr w:type="gramEnd"/>
            <w:r w:rsidRPr="00E44062">
              <w:rPr>
                <w:rFonts w:ascii="宋体" w:eastAsia="宋体" w:hAnsi="宋体" w:cs="宋体" w:hint="eastAsia"/>
                <w:kern w:val="0"/>
                <w:szCs w:val="21"/>
              </w:rPr>
              <w:t>选择</w:t>
            </w:r>
            <w:r w:rsidRPr="00FC299C">
              <w:rPr>
                <w:rFonts w:ascii="宋体" w:eastAsia="宋体" w:hAnsi="宋体" w:cs="宋体" w:hint="eastAsia"/>
                <w:kern w:val="0"/>
                <w:szCs w:val="21"/>
              </w:rPr>
              <w:t>收益(%)</w:t>
            </w: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E4406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交互作用</w:t>
            </w:r>
            <w:r w:rsidRPr="00FC299C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(%)</w:t>
            </w:r>
          </w:p>
        </w:tc>
      </w:tr>
      <w:tr w:rsidR="00FC299C" w:rsidRPr="00FC299C" w:rsidTr="00EA39A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国债</w:t>
            </w:r>
          </w:p>
        </w:tc>
        <w:tc>
          <w:tcPr>
            <w:tcW w:w="1418" w:type="dxa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C299C" w:rsidRPr="00FC299C" w:rsidTr="00EA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金融债</w:t>
            </w:r>
          </w:p>
        </w:tc>
        <w:tc>
          <w:tcPr>
            <w:tcW w:w="1418" w:type="dxa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C299C" w:rsidRPr="00FC299C" w:rsidTr="00EA39A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企业债及公司债</w:t>
            </w:r>
          </w:p>
        </w:tc>
        <w:tc>
          <w:tcPr>
            <w:tcW w:w="1418" w:type="dxa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C299C" w:rsidRPr="00FC299C" w:rsidTr="00EA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noWrap/>
            <w:hideMark/>
          </w:tcPr>
          <w:p w:rsidR="00FC299C" w:rsidRPr="00FC299C" w:rsidRDefault="00DA0BE7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 w:rsidRPr="00E44062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资产资产</w:t>
            </w:r>
            <w:proofErr w:type="gramEnd"/>
            <w:r w:rsidR="00FC299C" w:rsidRPr="00FC299C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证券</w:t>
            </w:r>
          </w:p>
        </w:tc>
        <w:tc>
          <w:tcPr>
            <w:tcW w:w="1418" w:type="dxa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C299C" w:rsidRPr="00FC299C" w:rsidTr="00EA39A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其他券种</w:t>
            </w:r>
          </w:p>
        </w:tc>
        <w:tc>
          <w:tcPr>
            <w:tcW w:w="1418" w:type="dxa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C299C" w:rsidRPr="00FC299C" w:rsidTr="00EA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299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418" w:type="dxa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84" w:type="dxa"/>
            <w:gridSpan w:val="3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560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1275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993" w:type="dxa"/>
            <w:gridSpan w:val="2"/>
            <w:noWrap/>
            <w:hideMark/>
          </w:tcPr>
          <w:p w:rsidR="00FC299C" w:rsidRPr="00FC299C" w:rsidRDefault="00FC299C" w:rsidP="007B7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:rsidR="006077E7" w:rsidRDefault="00EA39AE" w:rsidP="007B71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F55A33" wp14:editId="7EA3F453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A39AE" w:rsidRDefault="00866BC1" w:rsidP="007B71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0678FE" wp14:editId="1A86D67A">
            <wp:extent cx="5124450" cy="2867025"/>
            <wp:effectExtent l="0" t="0" r="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66BC1" w:rsidRPr="00DE17CF" w:rsidRDefault="00DE17CF" w:rsidP="007B71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E17CF">
        <w:rPr>
          <w:rFonts w:hint="eastAsia"/>
          <w:sz w:val="24"/>
          <w:szCs w:val="24"/>
        </w:rPr>
        <w:t>压力测试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5"/>
        <w:gridCol w:w="1533"/>
        <w:gridCol w:w="1660"/>
      </w:tblGrid>
      <w:tr w:rsidR="007D59F3" w:rsidRPr="00AA41E1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D59F3" w:rsidRPr="00AA41E1" w:rsidRDefault="007D59F3" w:rsidP="007B71E8">
            <w:pPr>
              <w:jc w:val="center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事件</w:t>
            </w:r>
          </w:p>
        </w:tc>
        <w:tc>
          <w:tcPr>
            <w:tcW w:w="1659" w:type="dxa"/>
          </w:tcPr>
          <w:p w:rsidR="007D59F3" w:rsidRPr="00AA41E1" w:rsidRDefault="007D59F3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策略组合</w:t>
            </w:r>
          </w:p>
        </w:tc>
        <w:tc>
          <w:tcPr>
            <w:tcW w:w="1785" w:type="dxa"/>
          </w:tcPr>
          <w:p w:rsidR="007D59F3" w:rsidRPr="00AA41E1" w:rsidRDefault="007D59F3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沪深</w:t>
            </w:r>
            <w:r w:rsidRPr="00AA41E1">
              <w:rPr>
                <w:rFonts w:hint="eastAsia"/>
                <w:szCs w:val="21"/>
              </w:rPr>
              <w:t>300</w:t>
            </w:r>
            <w:r w:rsidRPr="00AA41E1">
              <w:rPr>
                <w:rFonts w:hint="eastAsia"/>
                <w:szCs w:val="21"/>
              </w:rPr>
              <w:t>涨跌幅</w:t>
            </w:r>
          </w:p>
        </w:tc>
        <w:tc>
          <w:tcPr>
            <w:tcW w:w="1533" w:type="dxa"/>
          </w:tcPr>
          <w:p w:rsidR="007D59F3" w:rsidRPr="00AA41E1" w:rsidRDefault="007D59F3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策略指数</w:t>
            </w:r>
          </w:p>
        </w:tc>
        <w:tc>
          <w:tcPr>
            <w:tcW w:w="1660" w:type="dxa"/>
          </w:tcPr>
          <w:p w:rsidR="007D59F3" w:rsidRPr="00AA41E1" w:rsidRDefault="007D59F3" w:rsidP="007B7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基金收益率</w:t>
            </w:r>
          </w:p>
        </w:tc>
      </w:tr>
      <w:tr w:rsidR="007D59F3" w:rsidRPr="00AA41E1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D59F3" w:rsidRPr="00AA41E1" w:rsidRDefault="007D59F3" w:rsidP="007B71E8">
            <w:pPr>
              <w:jc w:val="center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股灾</w:t>
            </w:r>
            <w:r w:rsidRPr="00AA41E1"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7D59F3" w:rsidRPr="00AA41E1" w:rsidRDefault="00AA41E1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2015/06/12-2016/08/18</w:t>
            </w:r>
          </w:p>
        </w:tc>
        <w:tc>
          <w:tcPr>
            <w:tcW w:w="1785" w:type="dxa"/>
          </w:tcPr>
          <w:p w:rsidR="007D59F3" w:rsidRPr="00AA41E1" w:rsidRDefault="007D59F3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33" w:type="dxa"/>
          </w:tcPr>
          <w:p w:rsidR="007D59F3" w:rsidRPr="00AA41E1" w:rsidRDefault="007D59F3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:rsidR="007D59F3" w:rsidRPr="00AA41E1" w:rsidRDefault="007D59F3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D59F3" w:rsidRPr="00AA41E1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D59F3" w:rsidRPr="00AA41E1" w:rsidRDefault="007D59F3" w:rsidP="007B71E8">
            <w:pPr>
              <w:jc w:val="center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股灾</w:t>
            </w:r>
            <w:r w:rsidRPr="00AA41E1">
              <w:rPr>
                <w:rFonts w:hint="eastAsia"/>
                <w:szCs w:val="21"/>
              </w:rPr>
              <w:t>2.0</w:t>
            </w:r>
          </w:p>
        </w:tc>
        <w:tc>
          <w:tcPr>
            <w:tcW w:w="1659" w:type="dxa"/>
          </w:tcPr>
          <w:p w:rsidR="007D59F3" w:rsidRPr="00AA41E1" w:rsidRDefault="00AA41E1" w:rsidP="007B7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2015/08/18-2016/01/04</w:t>
            </w:r>
          </w:p>
        </w:tc>
        <w:tc>
          <w:tcPr>
            <w:tcW w:w="1785" w:type="dxa"/>
          </w:tcPr>
          <w:p w:rsidR="007D59F3" w:rsidRPr="00AA41E1" w:rsidRDefault="007D59F3" w:rsidP="007B7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33" w:type="dxa"/>
          </w:tcPr>
          <w:p w:rsidR="007D59F3" w:rsidRPr="00AA41E1" w:rsidRDefault="007D59F3" w:rsidP="007B7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:rsidR="007D59F3" w:rsidRPr="00AA41E1" w:rsidRDefault="007D59F3" w:rsidP="007B7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D59F3" w:rsidRPr="00AA41E1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D59F3" w:rsidRPr="00AA41E1" w:rsidRDefault="007D59F3" w:rsidP="007B71E8">
            <w:pPr>
              <w:jc w:val="center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2016</w:t>
            </w:r>
            <w:r w:rsidRPr="00AA41E1">
              <w:rPr>
                <w:rFonts w:hint="eastAsia"/>
                <w:szCs w:val="21"/>
              </w:rPr>
              <w:t>股市熔断</w:t>
            </w:r>
          </w:p>
        </w:tc>
        <w:tc>
          <w:tcPr>
            <w:tcW w:w="1659" w:type="dxa"/>
          </w:tcPr>
          <w:p w:rsidR="007D59F3" w:rsidRPr="00AA41E1" w:rsidRDefault="00AA41E1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A41E1">
              <w:rPr>
                <w:rFonts w:hint="eastAsia"/>
                <w:szCs w:val="21"/>
              </w:rPr>
              <w:t>2016/01/04-2016/01/07</w:t>
            </w:r>
          </w:p>
        </w:tc>
        <w:tc>
          <w:tcPr>
            <w:tcW w:w="1785" w:type="dxa"/>
          </w:tcPr>
          <w:p w:rsidR="007D59F3" w:rsidRPr="00AA41E1" w:rsidRDefault="007D59F3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533" w:type="dxa"/>
          </w:tcPr>
          <w:p w:rsidR="007D59F3" w:rsidRPr="00AA41E1" w:rsidRDefault="007D59F3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660" w:type="dxa"/>
          </w:tcPr>
          <w:p w:rsidR="007D59F3" w:rsidRPr="00AA41E1" w:rsidRDefault="007D59F3" w:rsidP="007B7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E17CF" w:rsidRDefault="00E44062" w:rsidP="007B71E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023A0A" wp14:editId="1A04245E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1C4E" w:rsidRPr="00DE17CF" w:rsidRDefault="00531C4E" w:rsidP="007B71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市道分析</w:t>
      </w:r>
    </w:p>
    <w:tbl>
      <w:tblPr>
        <w:tblStyle w:val="2"/>
        <w:tblW w:w="9776" w:type="dxa"/>
        <w:tblLook w:val="04A0" w:firstRow="1" w:lastRow="0" w:firstColumn="1" w:lastColumn="0" w:noHBand="0" w:noVBand="1"/>
      </w:tblPr>
      <w:tblGrid>
        <w:gridCol w:w="1369"/>
        <w:gridCol w:w="988"/>
        <w:gridCol w:w="993"/>
        <w:gridCol w:w="992"/>
        <w:gridCol w:w="1040"/>
        <w:gridCol w:w="1134"/>
        <w:gridCol w:w="1134"/>
        <w:gridCol w:w="1134"/>
        <w:gridCol w:w="992"/>
      </w:tblGrid>
      <w:tr w:rsidR="00531C4E" w:rsidTr="00D72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31C4E" w:rsidRDefault="00531C4E" w:rsidP="007B71E8">
            <w:pPr>
              <w:rPr>
                <w:szCs w:val="21"/>
              </w:rPr>
            </w:pPr>
          </w:p>
        </w:tc>
        <w:tc>
          <w:tcPr>
            <w:tcW w:w="988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  <w:r>
              <w:rPr>
                <w:rFonts w:hint="eastAsia"/>
                <w:szCs w:val="21"/>
              </w:rPr>
              <w:t>3%</w:t>
            </w:r>
          </w:p>
        </w:tc>
        <w:tc>
          <w:tcPr>
            <w:tcW w:w="993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2%</w:t>
            </w:r>
            <w:r>
              <w:rPr>
                <w:rFonts w:hint="eastAsia"/>
                <w:szCs w:val="21"/>
              </w:rPr>
              <w:t>至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992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1%</w:t>
            </w:r>
            <w:r>
              <w:rPr>
                <w:rFonts w:hint="eastAsia"/>
                <w:szCs w:val="21"/>
              </w:rPr>
              <w:t>至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040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  <w:r>
              <w:rPr>
                <w:rFonts w:hint="eastAsia"/>
                <w:szCs w:val="21"/>
              </w:rPr>
              <w:t>至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134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至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134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134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%</w:t>
            </w:r>
            <w:r>
              <w:rPr>
                <w:szCs w:val="21"/>
              </w:rPr>
              <w:t>至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992" w:type="dxa"/>
          </w:tcPr>
          <w:p w:rsidR="00531C4E" w:rsidRDefault="00531C4E" w:rsidP="007B7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小于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%</w:t>
            </w:r>
          </w:p>
        </w:tc>
      </w:tr>
      <w:tr w:rsidR="00531C4E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31C4E" w:rsidRDefault="00531C4E" w:rsidP="007B71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沪深</w:t>
            </w: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平均收益率</w:t>
            </w:r>
          </w:p>
        </w:tc>
        <w:tc>
          <w:tcPr>
            <w:tcW w:w="988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3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40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31C4E" w:rsidTr="00D72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31C4E" w:rsidRDefault="00531C4E" w:rsidP="007B71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策略指数</w:t>
            </w:r>
          </w:p>
        </w:tc>
        <w:tc>
          <w:tcPr>
            <w:tcW w:w="988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3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40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531C4E" w:rsidRDefault="00531C4E" w:rsidP="007B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31C4E" w:rsidTr="00D72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31C4E" w:rsidRDefault="00531C4E" w:rsidP="007B71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基金平均收益率</w:t>
            </w:r>
          </w:p>
        </w:tc>
        <w:tc>
          <w:tcPr>
            <w:tcW w:w="988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3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040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134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992" w:type="dxa"/>
          </w:tcPr>
          <w:p w:rsidR="00531C4E" w:rsidRDefault="00531C4E" w:rsidP="007B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531C4E" w:rsidRPr="00AA41E1" w:rsidRDefault="00531C4E" w:rsidP="007B71E8">
      <w:pPr>
        <w:rPr>
          <w:szCs w:val="21"/>
        </w:rPr>
      </w:pPr>
      <w:bookmarkStart w:id="0" w:name="_GoBack"/>
      <w:bookmarkEnd w:id="0"/>
    </w:p>
    <w:sectPr w:rsidR="00531C4E" w:rsidRPr="00AA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95694"/>
    <w:multiLevelType w:val="hybridMultilevel"/>
    <w:tmpl w:val="62E68958"/>
    <w:lvl w:ilvl="0" w:tplc="E1B81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20C3A"/>
    <w:multiLevelType w:val="hybridMultilevel"/>
    <w:tmpl w:val="4E323BCE"/>
    <w:lvl w:ilvl="0" w:tplc="98600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DA"/>
    <w:rsid w:val="00494317"/>
    <w:rsid w:val="00531C4E"/>
    <w:rsid w:val="006077E7"/>
    <w:rsid w:val="006E6AC1"/>
    <w:rsid w:val="007B71E8"/>
    <w:rsid w:val="007D59F3"/>
    <w:rsid w:val="00866BC1"/>
    <w:rsid w:val="00AA41E1"/>
    <w:rsid w:val="00B62702"/>
    <w:rsid w:val="00C8345F"/>
    <w:rsid w:val="00D72970"/>
    <w:rsid w:val="00DA0BE7"/>
    <w:rsid w:val="00DA2923"/>
    <w:rsid w:val="00DE17CF"/>
    <w:rsid w:val="00E41FDA"/>
    <w:rsid w:val="00E44062"/>
    <w:rsid w:val="00E44FFD"/>
    <w:rsid w:val="00EA39AE"/>
    <w:rsid w:val="00F86DDD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0198D-0494-4100-88BF-3BA0FC97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FDA"/>
    <w:pPr>
      <w:ind w:firstLineChars="200" w:firstLine="420"/>
    </w:pPr>
  </w:style>
  <w:style w:type="table" w:styleId="a4">
    <w:name w:val="Table Grid"/>
    <w:basedOn w:val="a1"/>
    <w:uiPriority w:val="39"/>
    <w:rsid w:val="00E41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E41F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E44FF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FC29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D7297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配置图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贡献度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股指期货</c:v>
                </c:pt>
                <c:pt idx="1">
                  <c:v>商品期货</c:v>
                </c:pt>
                <c:pt idx="2">
                  <c:v>国债期货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0.2</c:v>
                </c:pt>
                <c:pt idx="1">
                  <c:v>0.1</c:v>
                </c:pt>
                <c:pt idx="2">
                  <c:v>0.05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权重（占净值比）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股指期货</c:v>
                </c:pt>
                <c:pt idx="1">
                  <c:v>商品期货</c:v>
                </c:pt>
                <c:pt idx="2">
                  <c:v>国债期货</c:v>
                </c:pt>
              </c:strCache>
            </c:strRef>
          </c:cat>
          <c:val>
            <c:numRef>
              <c:f>Sheet1!$C$2:$C$4</c:f>
              <c:numCache>
                <c:formatCode>0%</c:formatCode>
                <c:ptCount val="3"/>
                <c:pt idx="0">
                  <c:v>0.4</c:v>
                </c:pt>
                <c:pt idx="1">
                  <c:v>0.15</c:v>
                </c:pt>
                <c:pt idx="2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483104"/>
        <c:axId val="975499424"/>
      </c:barChart>
      <c:catAx>
        <c:axId val="97548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99424"/>
        <c:crosses val="autoZero"/>
        <c:auto val="1"/>
        <c:lblAlgn val="ctr"/>
        <c:lblOffset val="100"/>
        <c:noMultiLvlLbl val="0"/>
      </c:catAx>
      <c:valAx>
        <c:axId val="9754994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831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十大盈利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权重（占净值比）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Sheet2!$A$2:$A$11</c:f>
              <c:strCache>
                <c:ptCount val="10"/>
                <c:pt idx="0">
                  <c:v>lf</c:v>
                </c:pt>
                <c:pt idx="1">
                  <c:v>lc</c:v>
                </c:pt>
                <c:pt idx="2">
                  <c:v>ru</c:v>
                </c:pt>
                <c:pt idx="3">
                  <c:v>ag</c:v>
                </c:pt>
                <c:pt idx="4">
                  <c:v>th</c:v>
                </c:pt>
                <c:pt idx="5">
                  <c:v>al</c:v>
                </c:pt>
                <c:pt idx="6">
                  <c:v>cu</c:v>
                </c:pt>
                <c:pt idx="7">
                  <c:v>sn</c:v>
                </c:pt>
                <c:pt idx="8">
                  <c:v>fu</c:v>
                </c:pt>
                <c:pt idx="9">
                  <c:v>rb</c:v>
                </c:pt>
              </c:strCache>
            </c:strRef>
          </c:cat>
          <c:val>
            <c:numRef>
              <c:f>Sheet2!$B$2:$B$11</c:f>
              <c:numCache>
                <c:formatCode>0%</c:formatCode>
                <c:ptCount val="10"/>
                <c:pt idx="0">
                  <c:v>0.1</c:v>
                </c:pt>
                <c:pt idx="1">
                  <c:v>0.09</c:v>
                </c:pt>
                <c:pt idx="2">
                  <c:v>7.0000000000000007E-2</c:v>
                </c:pt>
                <c:pt idx="3">
                  <c:v>7.0000000000000007E-2</c:v>
                </c:pt>
                <c:pt idx="4" formatCode="0.00%">
                  <c:v>4.4999999999999998E-2</c:v>
                </c:pt>
                <c:pt idx="5">
                  <c:v>0.04</c:v>
                </c:pt>
                <c:pt idx="6">
                  <c:v>0.03</c:v>
                </c:pt>
                <c:pt idx="7">
                  <c:v>0.02</c:v>
                </c:pt>
                <c:pt idx="8">
                  <c:v>0.02</c:v>
                </c:pt>
                <c:pt idx="9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501600"/>
        <c:axId val="975488000"/>
      </c:barChart>
      <c:lineChart>
        <c:grouping val="stacked"/>
        <c:varyColors val="0"/>
        <c:ser>
          <c:idx val="1"/>
          <c:order val="1"/>
          <c:tx>
            <c:strRef>
              <c:f>Sheet2!$C$1</c:f>
              <c:strCache>
                <c:ptCount val="1"/>
                <c:pt idx="0">
                  <c:v>收益额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Sheet2!$A$2:$A$11</c:f>
              <c:strCache>
                <c:ptCount val="10"/>
                <c:pt idx="0">
                  <c:v>lf</c:v>
                </c:pt>
                <c:pt idx="1">
                  <c:v>lc</c:v>
                </c:pt>
                <c:pt idx="2">
                  <c:v>ru</c:v>
                </c:pt>
                <c:pt idx="3">
                  <c:v>ag</c:v>
                </c:pt>
                <c:pt idx="4">
                  <c:v>th</c:v>
                </c:pt>
                <c:pt idx="5">
                  <c:v>al</c:v>
                </c:pt>
                <c:pt idx="6">
                  <c:v>cu</c:v>
                </c:pt>
                <c:pt idx="7">
                  <c:v>sn</c:v>
                </c:pt>
                <c:pt idx="8">
                  <c:v>fu</c:v>
                </c:pt>
                <c:pt idx="9">
                  <c:v>rb</c:v>
                </c:pt>
              </c:strCache>
            </c:strRef>
          </c:cat>
          <c:val>
            <c:numRef>
              <c:f>Sheet2!$C$2:$C$11</c:f>
              <c:numCache>
                <c:formatCode>General</c:formatCode>
                <c:ptCount val="10"/>
                <c:pt idx="0">
                  <c:v>8</c:v>
                </c:pt>
                <c:pt idx="1">
                  <c:v>11</c:v>
                </c:pt>
                <c:pt idx="2">
                  <c:v>6</c:v>
                </c:pt>
                <c:pt idx="3">
                  <c:v>7</c:v>
                </c:pt>
                <c:pt idx="4">
                  <c:v>3</c:v>
                </c:pt>
                <c:pt idx="5">
                  <c:v>5</c:v>
                </c:pt>
                <c:pt idx="6">
                  <c:v>9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5503776"/>
        <c:axId val="975502144"/>
      </c:lineChart>
      <c:catAx>
        <c:axId val="97550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88000"/>
        <c:crosses val="autoZero"/>
        <c:auto val="1"/>
        <c:lblAlgn val="ctr"/>
        <c:lblOffset val="100"/>
        <c:noMultiLvlLbl val="0"/>
      </c:catAx>
      <c:valAx>
        <c:axId val="97548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501600"/>
        <c:crosses val="autoZero"/>
        <c:crossBetween val="between"/>
      </c:valAx>
      <c:valAx>
        <c:axId val="9755021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503776"/>
        <c:crosses val="max"/>
        <c:crossBetween val="between"/>
      </c:valAx>
      <c:catAx>
        <c:axId val="9755037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755021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十大亏损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权重（占净值比）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Sheet3!$A$2:$A$11</c:f>
              <c:strCache>
                <c:ptCount val="10"/>
                <c:pt idx="0">
                  <c:v>pb</c:v>
                </c:pt>
                <c:pt idx="1">
                  <c:v>l</c:v>
                </c:pt>
                <c:pt idx="2">
                  <c:v>ta</c:v>
                </c:pt>
                <c:pt idx="3">
                  <c:v>tr</c:v>
                </c:pt>
                <c:pt idx="4">
                  <c:v>j</c:v>
                </c:pt>
                <c:pt idx="5">
                  <c:v>bj</c:v>
                </c:pt>
                <c:pt idx="6">
                  <c:v>i</c:v>
                </c:pt>
                <c:pt idx="7">
                  <c:v>bb</c:v>
                </c:pt>
                <c:pt idx="8">
                  <c:v>pp</c:v>
                </c:pt>
                <c:pt idx="9">
                  <c:v>jd</c:v>
                </c:pt>
              </c:strCache>
            </c:strRef>
          </c:cat>
          <c:val>
            <c:numRef>
              <c:f>Sheet3!$B$2:$B$11</c:f>
              <c:numCache>
                <c:formatCode>0%</c:formatCode>
                <c:ptCount val="10"/>
                <c:pt idx="0">
                  <c:v>0.1</c:v>
                </c:pt>
                <c:pt idx="1">
                  <c:v>0.09</c:v>
                </c:pt>
                <c:pt idx="2">
                  <c:v>7.0000000000000007E-2</c:v>
                </c:pt>
                <c:pt idx="3">
                  <c:v>7.0000000000000007E-2</c:v>
                </c:pt>
                <c:pt idx="4" formatCode="0.00%">
                  <c:v>4.4999999999999998E-2</c:v>
                </c:pt>
                <c:pt idx="5">
                  <c:v>0.04</c:v>
                </c:pt>
                <c:pt idx="6">
                  <c:v>0.03</c:v>
                </c:pt>
                <c:pt idx="7">
                  <c:v>0.02</c:v>
                </c:pt>
                <c:pt idx="8">
                  <c:v>0.02</c:v>
                </c:pt>
                <c:pt idx="9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504320"/>
        <c:axId val="975480928"/>
      </c:barChart>
      <c:lineChart>
        <c:grouping val="stacked"/>
        <c:varyColors val="0"/>
        <c:ser>
          <c:idx val="1"/>
          <c:order val="1"/>
          <c:tx>
            <c:strRef>
              <c:f>Sheet3!$C$1</c:f>
              <c:strCache>
                <c:ptCount val="1"/>
                <c:pt idx="0">
                  <c:v>收益额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Sheet3!$A$2:$A$11</c:f>
              <c:strCache>
                <c:ptCount val="10"/>
                <c:pt idx="0">
                  <c:v>pb</c:v>
                </c:pt>
                <c:pt idx="1">
                  <c:v>l</c:v>
                </c:pt>
                <c:pt idx="2">
                  <c:v>ta</c:v>
                </c:pt>
                <c:pt idx="3">
                  <c:v>tr</c:v>
                </c:pt>
                <c:pt idx="4">
                  <c:v>j</c:v>
                </c:pt>
                <c:pt idx="5">
                  <c:v>bj</c:v>
                </c:pt>
                <c:pt idx="6">
                  <c:v>i</c:v>
                </c:pt>
                <c:pt idx="7">
                  <c:v>bb</c:v>
                </c:pt>
                <c:pt idx="8">
                  <c:v>pp</c:v>
                </c:pt>
                <c:pt idx="9">
                  <c:v>jd</c:v>
                </c:pt>
              </c:strCache>
            </c:strRef>
          </c:cat>
          <c:val>
            <c:numRef>
              <c:f>Sheet3!$C$2:$C$11</c:f>
              <c:numCache>
                <c:formatCode>General</c:formatCode>
                <c:ptCount val="10"/>
                <c:pt idx="0">
                  <c:v>-8</c:v>
                </c:pt>
                <c:pt idx="1">
                  <c:v>-11</c:v>
                </c:pt>
                <c:pt idx="2">
                  <c:v>-6</c:v>
                </c:pt>
                <c:pt idx="3">
                  <c:v>-7</c:v>
                </c:pt>
                <c:pt idx="4">
                  <c:v>-3</c:v>
                </c:pt>
                <c:pt idx="5">
                  <c:v>-5</c:v>
                </c:pt>
                <c:pt idx="6">
                  <c:v>-9</c:v>
                </c:pt>
                <c:pt idx="7">
                  <c:v>-2</c:v>
                </c:pt>
                <c:pt idx="8">
                  <c:v>-2</c:v>
                </c:pt>
                <c:pt idx="9">
                  <c:v>-1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5498336"/>
        <c:axId val="975504864"/>
      </c:lineChart>
      <c:catAx>
        <c:axId val="975504320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80928"/>
        <c:crosses val="autoZero"/>
        <c:auto val="1"/>
        <c:lblAlgn val="ctr"/>
        <c:lblOffset val="100"/>
        <c:noMultiLvlLbl val="0"/>
      </c:catAx>
      <c:valAx>
        <c:axId val="975480928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504320"/>
        <c:crosses val="autoZero"/>
        <c:crossBetween val="between"/>
      </c:valAx>
      <c:valAx>
        <c:axId val="97550486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98336"/>
        <c:crosses val="max"/>
        <c:crossBetween val="between"/>
      </c:valAx>
      <c:catAx>
        <c:axId val="975498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7550486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收益率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Sheet1!$B$1:$Q$1</c:f>
              <c:strCache>
                <c:ptCount val="16"/>
                <c:pt idx="0">
                  <c:v>0月</c:v>
                </c:pt>
                <c:pt idx="1">
                  <c:v>1月</c:v>
                </c:pt>
                <c:pt idx="2">
                  <c:v>2月</c:v>
                </c:pt>
                <c:pt idx="3">
                  <c:v>3月</c:v>
                </c:pt>
                <c:pt idx="4">
                  <c:v>6月</c:v>
                </c:pt>
                <c:pt idx="5">
                  <c:v>9月</c:v>
                </c:pt>
                <c:pt idx="6">
                  <c:v>1年</c:v>
                </c:pt>
                <c:pt idx="7">
                  <c:v>3年</c:v>
                </c:pt>
                <c:pt idx="8">
                  <c:v>5年</c:v>
                </c:pt>
                <c:pt idx="9">
                  <c:v>7年</c:v>
                </c:pt>
                <c:pt idx="10">
                  <c:v>10年</c:v>
                </c:pt>
                <c:pt idx="11">
                  <c:v>15年</c:v>
                </c:pt>
                <c:pt idx="12">
                  <c:v>20年</c:v>
                </c:pt>
                <c:pt idx="13">
                  <c:v>30年</c:v>
                </c:pt>
                <c:pt idx="14">
                  <c:v>40年</c:v>
                </c:pt>
                <c:pt idx="15">
                  <c:v>50年</c:v>
                </c:pt>
              </c:strCache>
            </c:strRef>
          </c:cat>
          <c:val>
            <c:numRef>
              <c:f>Sheet1!$B$2:$Q$2</c:f>
              <c:numCache>
                <c:formatCode>0.00%</c:formatCode>
                <c:ptCount val="16"/>
                <c:pt idx="0">
                  <c:v>1.4999999999999999E-4</c:v>
                </c:pt>
                <c:pt idx="1">
                  <c:v>1E-4</c:v>
                </c:pt>
                <c:pt idx="2">
                  <c:v>-8.0000000000000007E-5</c:v>
                </c:pt>
                <c:pt idx="3">
                  <c:v>-1E-4</c:v>
                </c:pt>
                <c:pt idx="4">
                  <c:v>-2.9999999999999997E-4</c:v>
                </c:pt>
                <c:pt idx="5">
                  <c:v>-4.0000000000000002E-4</c:v>
                </c:pt>
                <c:pt idx="6">
                  <c:v>-4.4999999999999999E-4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4"/>
        <c:axId val="975488544"/>
        <c:axId val="975489088"/>
      </c:barChart>
      <c:catAx>
        <c:axId val="97548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89088"/>
        <c:crossesAt val="-5.0000000000000012E-4"/>
        <c:auto val="1"/>
        <c:lblAlgn val="ctr"/>
        <c:lblOffset val="100"/>
        <c:noMultiLvlLbl val="0"/>
      </c:catAx>
      <c:valAx>
        <c:axId val="97548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8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投资组合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Sheet3!$A$1:$A$6</c:f>
              <c:strCache>
                <c:ptCount val="6"/>
                <c:pt idx="0">
                  <c:v>持有收益</c:v>
                </c:pt>
                <c:pt idx="1">
                  <c:v>久期收益</c:v>
                </c:pt>
                <c:pt idx="2">
                  <c:v>期限结构配置收益</c:v>
                </c:pt>
                <c:pt idx="3">
                  <c:v>权重配置收益</c:v>
                </c:pt>
                <c:pt idx="4">
                  <c:v>个券选择收益</c:v>
                </c:pt>
                <c:pt idx="5">
                  <c:v>交互作用</c:v>
                </c:pt>
              </c:strCache>
            </c:strRef>
          </c:cat>
          <c:val>
            <c:numRef>
              <c:f>Sheet3!$B$1:$B$6</c:f>
              <c:numCache>
                <c:formatCode>0.00%</c:formatCode>
                <c:ptCount val="6"/>
                <c:pt idx="0">
                  <c:v>-2.5000000000000001E-4</c:v>
                </c:pt>
                <c:pt idx="1">
                  <c:v>-1E-4</c:v>
                </c:pt>
                <c:pt idx="4">
                  <c:v>-1.25E-3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75494528"/>
        <c:axId val="975489632"/>
      </c:barChart>
      <c:catAx>
        <c:axId val="97549452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89632"/>
        <c:crosses val="autoZero"/>
        <c:auto val="1"/>
        <c:lblAlgn val="ctr"/>
        <c:lblOffset val="100"/>
        <c:noMultiLvlLbl val="0"/>
      </c:catAx>
      <c:valAx>
        <c:axId val="9754896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94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超额收益率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Sheet4!$A$2:$A$6</c:f>
              <c:strCache>
                <c:ptCount val="5"/>
                <c:pt idx="0">
                  <c:v>国债</c:v>
                </c:pt>
                <c:pt idx="1">
                  <c:v>金融债</c:v>
                </c:pt>
                <c:pt idx="2">
                  <c:v>企业债及公司债</c:v>
                </c:pt>
                <c:pt idx="3">
                  <c:v>资产资产证券</c:v>
                </c:pt>
                <c:pt idx="4">
                  <c:v>其他券种</c:v>
                </c:pt>
              </c:strCache>
            </c:strRef>
          </c:cat>
          <c:val>
            <c:numRef>
              <c:f>Sheet4!$B$2:$B$6</c:f>
              <c:numCache>
                <c:formatCode>0.00%</c:formatCode>
                <c:ptCount val="5"/>
                <c:pt idx="0">
                  <c:v>-1E-3</c:v>
                </c:pt>
                <c:pt idx="1">
                  <c:v>2.5000000000000001E-3</c:v>
                </c:pt>
                <c:pt idx="2">
                  <c:v>-1.2500000000000001E-2</c:v>
                </c:pt>
                <c:pt idx="3">
                  <c:v>1E-3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490176"/>
        <c:axId val="975474944"/>
      </c:barChart>
      <c:lineChart>
        <c:grouping val="stacked"/>
        <c:varyColors val="0"/>
        <c:ser>
          <c:idx val="1"/>
          <c:order val="1"/>
          <c:tx>
            <c:strRef>
              <c:f>Sheet4!$C$1</c:f>
              <c:strCache>
                <c:ptCount val="1"/>
                <c:pt idx="0">
                  <c:v>贡献度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Sheet4!$A$2:$A$6</c:f>
              <c:strCache>
                <c:ptCount val="5"/>
                <c:pt idx="0">
                  <c:v>国债</c:v>
                </c:pt>
                <c:pt idx="1">
                  <c:v>金融债</c:v>
                </c:pt>
                <c:pt idx="2">
                  <c:v>企业债及公司债</c:v>
                </c:pt>
                <c:pt idx="3">
                  <c:v>资产资产证券</c:v>
                </c:pt>
                <c:pt idx="4">
                  <c:v>其他券种</c:v>
                </c:pt>
              </c:strCache>
            </c:strRef>
          </c:cat>
          <c:val>
            <c:numRef>
              <c:f>Sheet4!$C$2:$C$6</c:f>
              <c:numCache>
                <c:formatCode>0.00%</c:formatCode>
                <c:ptCount val="5"/>
                <c:pt idx="0">
                  <c:v>-0.1</c:v>
                </c:pt>
                <c:pt idx="1">
                  <c:v>0.15</c:v>
                </c:pt>
                <c:pt idx="2" formatCode="0%">
                  <c:v>-0.4</c:v>
                </c:pt>
                <c:pt idx="3" formatCode="0%">
                  <c:v>-0.08</c:v>
                </c:pt>
                <c:pt idx="4" formatCode="0%">
                  <c:v>-0.08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5476576"/>
        <c:axId val="975473856"/>
      </c:lineChart>
      <c:catAx>
        <c:axId val="97549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74944"/>
        <c:crosses val="autoZero"/>
        <c:auto val="1"/>
        <c:lblAlgn val="ctr"/>
        <c:lblOffset val="100"/>
        <c:noMultiLvlLbl val="0"/>
      </c:catAx>
      <c:valAx>
        <c:axId val="9754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90176"/>
        <c:crosses val="autoZero"/>
        <c:crossBetween val="between"/>
      </c:valAx>
      <c:valAx>
        <c:axId val="975473856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76576"/>
        <c:crosses val="max"/>
        <c:crossBetween val="between"/>
      </c:valAx>
      <c:catAx>
        <c:axId val="9754765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754738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收益统计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Sheet5!$A$2</c:f>
              <c:strCache>
                <c:ptCount val="1"/>
                <c:pt idx="0">
                  <c:v>基金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Sheet5!$B$1:$E$1</c:f>
              <c:strCache>
                <c:ptCount val="4"/>
                <c:pt idx="0">
                  <c:v>沪深300以上</c:v>
                </c:pt>
                <c:pt idx="1">
                  <c:v>2016年股市大跌</c:v>
                </c:pt>
                <c:pt idx="2">
                  <c:v>2016年股市熔断</c:v>
                </c:pt>
                <c:pt idx="3">
                  <c:v>2015年股市崩盘</c:v>
                </c:pt>
              </c:strCache>
            </c:strRef>
          </c:cat>
          <c:val>
            <c:numRef>
              <c:f>Sheet5!$B$2:$E$2</c:f>
              <c:numCache>
                <c:formatCode>0%</c:formatCode>
                <c:ptCount val="4"/>
                <c:pt idx="0">
                  <c:v>0.38</c:v>
                </c:pt>
                <c:pt idx="1">
                  <c:v>0.64</c:v>
                </c:pt>
                <c:pt idx="2">
                  <c:v>0.64</c:v>
                </c:pt>
                <c:pt idx="3">
                  <c:v>0.64</c:v>
                </c:pt>
              </c:numCache>
            </c:numRef>
          </c:val>
        </c:ser>
        <c:ser>
          <c:idx val="1"/>
          <c:order val="1"/>
          <c:tx>
            <c:strRef>
              <c:f>Sheet5!$A$3</c:f>
              <c:strCache>
                <c:ptCount val="1"/>
                <c:pt idx="0">
                  <c:v>沪深300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Sheet5!$B$1:$E$1</c:f>
              <c:strCache>
                <c:ptCount val="4"/>
                <c:pt idx="0">
                  <c:v>沪深300以上</c:v>
                </c:pt>
                <c:pt idx="1">
                  <c:v>2016年股市大跌</c:v>
                </c:pt>
                <c:pt idx="2">
                  <c:v>2016年股市熔断</c:v>
                </c:pt>
                <c:pt idx="3">
                  <c:v>2015年股市崩盘</c:v>
                </c:pt>
              </c:strCache>
            </c:strRef>
          </c:cat>
          <c:val>
            <c:numRef>
              <c:f>Sheet5!$B$3:$E$3</c:f>
              <c:numCache>
                <c:formatCode>0%</c:formatCode>
                <c:ptCount val="4"/>
                <c:pt idx="0">
                  <c:v>0.68</c:v>
                </c:pt>
                <c:pt idx="1">
                  <c:v>0.16</c:v>
                </c:pt>
                <c:pt idx="2">
                  <c:v>0.16</c:v>
                </c:pt>
                <c:pt idx="3">
                  <c:v>0.16</c:v>
                </c:pt>
              </c:numCache>
            </c:numRef>
          </c:val>
        </c:ser>
        <c:ser>
          <c:idx val="2"/>
          <c:order val="2"/>
          <c:tx>
            <c:strRef>
              <c:f>Sheet5!$A$4</c:f>
              <c:strCache>
                <c:ptCount val="1"/>
                <c:pt idx="0">
                  <c:v>XXXX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Sheet5!$B$1:$E$1</c:f>
              <c:strCache>
                <c:ptCount val="4"/>
                <c:pt idx="0">
                  <c:v>沪深300以上</c:v>
                </c:pt>
                <c:pt idx="1">
                  <c:v>2016年股市大跌</c:v>
                </c:pt>
                <c:pt idx="2">
                  <c:v>2016年股市熔断</c:v>
                </c:pt>
                <c:pt idx="3">
                  <c:v>2015年股市崩盘</c:v>
                </c:pt>
              </c:strCache>
            </c:strRef>
          </c:cat>
          <c:val>
            <c:numRef>
              <c:f>Sheet5!$B$4:$E$4</c:f>
              <c:numCache>
                <c:formatCode>0%</c:formatCode>
                <c:ptCount val="4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5501056"/>
        <c:axId val="975477120"/>
      </c:barChart>
      <c:catAx>
        <c:axId val="975501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477120"/>
        <c:crosses val="autoZero"/>
        <c:auto val="1"/>
        <c:lblAlgn val="ctr"/>
        <c:lblOffset val="100"/>
        <c:noMultiLvlLbl val="0"/>
      </c:catAx>
      <c:valAx>
        <c:axId val="97547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550105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D14E0-52C2-48ED-9B2A-B35185C6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2017-07-28T09:57:00Z</dcterms:created>
  <dcterms:modified xsi:type="dcterms:W3CDTF">2017-07-30T10:13:00Z</dcterms:modified>
</cp:coreProperties>
</file>