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Climate Variability and Change Analysis: Pretoria</w:t>
      </w:r>
    </w:p>
    <w:p>
      <w:pPr>
        <w:pStyle w:val="Heading1"/>
      </w:pPr>
      <w:r>
        <w:t>1. Introduction</w:t>
      </w:r>
    </w:p>
    <w:p>
      <w:r>
        <w:t>Pretoria, situated in Gauteng Province, has undergone significant urban development over the past six decades. Studying climate variability here</w:t>
        <w:br/>
        <w:t>provides insights into both regional climate trends and the influence of microenvironmental changes such as urbanization.</w:t>
      </w:r>
    </w:p>
    <w:p>
      <w:pPr>
        <w:pStyle w:val="Heading1"/>
      </w:pPr>
      <w:r>
        <w:t>2. Methodology</w:t>
      </w:r>
    </w:p>
    <w:p>
      <w:r>
        <w:t>We used TerraClimate data (1964–2024) for monthly temperature and precipitation. Data was processed using Python (pandas, seaborn, matplotlib).</w:t>
        <w:br/>
        <w:t>Seasonal grouping, anomaly detection, and extreme event classification were applied.</w:t>
      </w:r>
    </w:p>
    <w:p>
      <w:pPr>
        <w:pStyle w:val="Heading1"/>
      </w:pPr>
      <w:r>
        <w:t>3. Results</w:t>
      </w:r>
    </w:p>
    <w:p>
      <w:r>
        <w:t>The following visualizations illustrate key trends in temperature, precipitation, seasonal variation, and extreme events:</w:t>
      </w:r>
    </w:p>
    <w:p>
      <w:r>
        <w:t>Figure: Annual Temperature Trends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trends_separ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Annual Precipitation Trend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pitation_trend_separ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Diurnal Temperature Range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range_separa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10-Year Moving Averages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ving_averages_sepa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Summer Temperature Trends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sonal_summer_trend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Autumn Temperature Trends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sonal_autumn_trend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Winter Temperature Trends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sonal_winter_trend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Spring Temperature Trends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sonal_spring_trend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Seasonal Tmax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sonal_tmax_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Extreme Temperature Events per Year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reme_event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Annual Precipitation Anomalies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cip_anomali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Minimum Temperature Trends by Period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in_trend_period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Figure: Overall Temperature Trend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toria_overall_tren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Seasonal Temperature Trends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Season</w:t>
            </w:r>
          </w:p>
        </w:tc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Trend (°C/decade)</w:t>
            </w:r>
          </w:p>
        </w:tc>
        <w:tc>
          <w:tcPr>
            <w:tcW w:type="dxa" w:w="2160"/>
          </w:tcPr>
          <w:p>
            <w:r>
              <w:t>Significant</w:t>
            </w:r>
          </w:p>
        </w:tc>
      </w:tr>
      <w:tr>
        <w:tc>
          <w:tcPr>
            <w:tcW w:type="dxa" w:w="2160"/>
          </w:tcPr>
          <w:p>
            <w:r>
              <w:t>Summer</w:t>
            </w:r>
          </w:p>
        </w:tc>
        <w:tc>
          <w:tcPr>
            <w:tcW w:type="dxa" w:w="2160"/>
          </w:tcPr>
          <w:p>
            <w:r>
              <w:t>tmax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Summer</w:t>
            </w:r>
          </w:p>
        </w:tc>
        <w:tc>
          <w:tcPr>
            <w:tcW w:type="dxa" w:w="2160"/>
          </w:tcPr>
          <w:p>
            <w:r>
              <w:t>tmin</w:t>
            </w:r>
          </w:p>
        </w:tc>
        <w:tc>
          <w:tcPr>
            <w:tcW w:type="dxa" w:w="2160"/>
          </w:tcPr>
          <w:p>
            <w:r>
              <w:t>0.165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Summer</w:t>
            </w:r>
          </w:p>
        </w:tc>
        <w:tc>
          <w:tcPr>
            <w:tcW w:type="dxa" w:w="2160"/>
          </w:tcPr>
          <w:p>
            <w:r>
              <w:t>tmean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Autumn</w:t>
            </w:r>
          </w:p>
        </w:tc>
        <w:tc>
          <w:tcPr>
            <w:tcW w:type="dxa" w:w="2160"/>
          </w:tcPr>
          <w:p>
            <w:r>
              <w:t>tmax</w:t>
            </w:r>
          </w:p>
        </w:tc>
        <w:tc>
          <w:tcPr>
            <w:tcW w:type="dxa" w:w="2160"/>
          </w:tcPr>
          <w:p>
            <w:r>
              <w:t>0.386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Autumn</w:t>
            </w:r>
          </w:p>
        </w:tc>
        <w:tc>
          <w:tcPr>
            <w:tcW w:type="dxa" w:w="2160"/>
          </w:tcPr>
          <w:p>
            <w:r>
              <w:t>tmin</w:t>
            </w:r>
          </w:p>
        </w:tc>
        <w:tc>
          <w:tcPr>
            <w:tcW w:type="dxa" w:w="2160"/>
          </w:tcPr>
          <w:p>
            <w:r>
              <w:t>0.206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Autumn</w:t>
            </w:r>
          </w:p>
        </w:tc>
        <w:tc>
          <w:tcPr>
            <w:tcW w:type="dxa" w:w="2160"/>
          </w:tcPr>
          <w:p>
            <w:r>
              <w:t>tmean</w:t>
            </w:r>
          </w:p>
        </w:tc>
        <w:tc>
          <w:tcPr>
            <w:tcW w:type="dxa" w:w="2160"/>
          </w:tcPr>
          <w:p>
            <w:r>
              <w:t>0.296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Winter</w:t>
            </w:r>
          </w:p>
        </w:tc>
        <w:tc>
          <w:tcPr>
            <w:tcW w:type="dxa" w:w="2160"/>
          </w:tcPr>
          <w:p>
            <w:r>
              <w:t>tmax</w:t>
            </w:r>
          </w:p>
        </w:tc>
        <w:tc>
          <w:tcPr>
            <w:tcW w:type="dxa" w:w="2160"/>
          </w:tcPr>
          <w:p>
            <w:r>
              <w:t>0.388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Winter</w:t>
            </w:r>
          </w:p>
        </w:tc>
        <w:tc>
          <w:tcPr>
            <w:tcW w:type="dxa" w:w="2160"/>
          </w:tcPr>
          <w:p>
            <w:r>
              <w:t>tmin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Winter</w:t>
            </w:r>
          </w:p>
        </w:tc>
        <w:tc>
          <w:tcPr>
            <w:tcW w:type="dxa" w:w="2160"/>
          </w:tcPr>
          <w:p>
            <w:r>
              <w:t>tmean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Spring</w:t>
            </w:r>
          </w:p>
        </w:tc>
        <w:tc>
          <w:tcPr>
            <w:tcW w:type="dxa" w:w="2160"/>
          </w:tcPr>
          <w:p>
            <w:r>
              <w:t>tmax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Spring</w:t>
            </w:r>
          </w:p>
        </w:tc>
        <w:tc>
          <w:tcPr>
            <w:tcW w:type="dxa" w:w="2160"/>
          </w:tcPr>
          <w:p>
            <w:r>
              <w:t>tmin</w:t>
            </w:r>
          </w:p>
        </w:tc>
        <w:tc>
          <w:tcPr>
            <w:tcW w:type="dxa" w:w="2160"/>
          </w:tcPr>
          <w:p>
            <w:r>
              <w:t>0.202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Spring</w:t>
            </w:r>
          </w:p>
        </w:tc>
        <w:tc>
          <w:tcPr>
            <w:tcW w:type="dxa" w:w="2160"/>
          </w:tcPr>
          <w:p>
            <w:r>
              <w:t>tmean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Heading2"/>
      </w:pPr>
      <w:r>
        <w:t>Summary of Temperature Trends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Variable</w:t>
            </w:r>
          </w:p>
        </w:tc>
        <w:tc>
          <w:tcPr>
            <w:tcW w:type="dxa" w:w="1440"/>
          </w:tcPr>
          <w:p>
            <w:r>
              <w:t>Trend (°C/decade)</w:t>
            </w:r>
          </w:p>
        </w:tc>
        <w:tc>
          <w:tcPr>
            <w:tcW w:type="dxa" w:w="1440"/>
          </w:tcPr>
          <w:p>
            <w:r>
              <w:t>P-value</w:t>
            </w:r>
          </w:p>
        </w:tc>
        <w:tc>
          <w:tcPr>
            <w:tcW w:type="dxa" w:w="1440"/>
          </w:tcPr>
          <w:p>
            <w:r>
              <w:t>Significant</w:t>
            </w:r>
          </w:p>
        </w:tc>
        <w:tc>
          <w:tcPr>
            <w:tcW w:type="dxa" w:w="1440"/>
          </w:tcPr>
          <w:p>
            <w:r>
              <w:t>R²</w:t>
            </w:r>
          </w:p>
        </w:tc>
        <w:tc>
          <w:tcPr>
            <w:tcW w:type="dxa" w:w="1440"/>
          </w:tcPr>
          <w:p>
            <w:r>
              <w:t>Period</w:t>
            </w:r>
          </w:p>
        </w:tc>
      </w:tr>
      <w:tr>
        <w:tc>
          <w:tcPr>
            <w:tcW w:type="dxa" w:w="1440"/>
          </w:tcPr>
          <w:p>
            <w:r>
              <w:t>TMAX</w:t>
            </w:r>
          </w:p>
        </w:tc>
        <w:tc>
          <w:tcPr>
            <w:tcW w:type="dxa" w:w="1440"/>
          </w:tcPr>
          <w:p>
            <w:r>
              <w:t>0.358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0.511</w:t>
            </w:r>
          </w:p>
        </w:tc>
        <w:tc>
          <w:tcPr>
            <w:tcW w:type="dxa" w:w="1440"/>
          </w:tcPr>
          <w:p>
            <w:r>
              <w:t>1964-2024</w:t>
            </w:r>
          </w:p>
        </w:tc>
      </w:tr>
      <w:tr>
        <w:tc>
          <w:tcPr>
            <w:tcW w:type="dxa" w:w="1440"/>
          </w:tcPr>
          <w:p>
            <w:r>
              <w:t>TMIN</w:t>
            </w:r>
          </w:p>
        </w:tc>
        <w:tc>
          <w:tcPr>
            <w:tcW w:type="dxa" w:w="1440"/>
          </w:tcPr>
          <w:p>
            <w:r>
              <w:t>0.214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0.478</w:t>
            </w:r>
          </w:p>
        </w:tc>
        <w:tc>
          <w:tcPr>
            <w:tcW w:type="dxa" w:w="1440"/>
          </w:tcPr>
          <w:p>
            <w:r>
              <w:t>1964-2024</w:t>
            </w:r>
          </w:p>
        </w:tc>
      </w:tr>
      <w:tr>
        <w:tc>
          <w:tcPr>
            <w:tcW w:type="dxa" w:w="1440"/>
          </w:tcPr>
          <w:p>
            <w:r>
              <w:t>TMEAN</w:t>
            </w:r>
          </w:p>
        </w:tc>
        <w:tc>
          <w:tcPr>
            <w:tcW w:type="dxa" w:w="1440"/>
          </w:tcPr>
          <w:p>
            <w:r>
              <w:t>0.286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0.586</w:t>
            </w:r>
          </w:p>
        </w:tc>
        <w:tc>
          <w:tcPr>
            <w:tcW w:type="dxa" w:w="1440"/>
          </w:tcPr>
          <w:p>
            <w:r>
              <w:t>1964-2024</w:t>
            </w:r>
          </w:p>
        </w:tc>
      </w:tr>
    </w:tbl>
    <w:p>
      <w:pPr>
        <w:pStyle w:val="Heading2"/>
      </w:pPr>
      <w:r>
        <w:t>Microenvironmental Analysis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Indicator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Minimum Temperature Trend</w:t>
            </w:r>
          </w:p>
        </w:tc>
        <w:tc>
          <w:tcPr>
            <w:tcW w:type="dxa" w:w="2880"/>
          </w:tcPr>
          <w:p>
            <w:r>
              <w:t>0.214°C/decade</w:t>
            </w:r>
          </w:p>
        </w:tc>
        <w:tc>
          <w:tcPr>
            <w:tcW w:type="dxa" w:w="2880"/>
          </w:tcPr>
          <w:p>
            <w:r>
              <w:t>Consistent with urban heat island effects</w:t>
            </w:r>
          </w:p>
        </w:tc>
      </w:tr>
      <w:tr>
        <w:tc>
          <w:tcPr>
            <w:tcW w:type="dxa" w:w="2880"/>
          </w:tcPr>
          <w:p>
            <w:r>
              <w:t>Temperature Range Trend</w:t>
            </w:r>
          </w:p>
        </w:tc>
        <w:tc>
          <w:tcPr>
            <w:tcW w:type="dxa" w:w="2880"/>
          </w:tcPr>
          <w:p>
            <w:r>
              <w:t>0.144°C/decade</w:t>
            </w:r>
          </w:p>
        </w:tc>
        <w:tc>
          <w:tcPr>
            <w:tcW w:type="dxa" w:w="2880"/>
          </w:tcPr>
          <w:p>
            <w:r>
              <w:t>Stable or increasing range</w:t>
            </w:r>
          </w:p>
        </w:tc>
      </w:tr>
      <w:tr>
        <w:tc>
          <w:tcPr>
            <w:tcW w:type="dxa" w:w="2880"/>
          </w:tcPr>
          <w:p>
            <w:r>
              <w:t>Tmin Trend (Early Period (1964-1985))</w:t>
            </w:r>
          </w:p>
        </w:tc>
        <w:tc>
          <w:tcPr>
            <w:tcW w:type="dxa" w:w="2880"/>
          </w:tcPr>
          <w:p>
            <w:r>
              <w:t>0.364°C/decade</w:t>
            </w:r>
          </w:p>
        </w:tc>
        <w:tc>
          <w:tcPr>
            <w:tcW w:type="dxa" w:w="2880"/>
          </w:tcPr>
          <w:p>
            <w:r>
              <w:t>Period-specific warming</w:t>
            </w:r>
          </w:p>
        </w:tc>
      </w:tr>
      <w:tr>
        <w:tc>
          <w:tcPr>
            <w:tcW w:type="dxa" w:w="2880"/>
          </w:tcPr>
          <w:p>
            <w:r>
              <w:t>Tmin Trend (Growth Period (1986-2005))</w:t>
            </w:r>
          </w:p>
        </w:tc>
        <w:tc>
          <w:tcPr>
            <w:tcW w:type="dxa" w:w="2880"/>
          </w:tcPr>
          <w:p>
            <w:r>
              <w:t>0.009°C/decade</w:t>
            </w:r>
          </w:p>
        </w:tc>
        <w:tc>
          <w:tcPr>
            <w:tcW w:type="dxa" w:w="2880"/>
          </w:tcPr>
          <w:p>
            <w:r>
              <w:t>Period-specific warming</w:t>
            </w:r>
          </w:p>
        </w:tc>
      </w:tr>
      <w:tr>
        <w:tc>
          <w:tcPr>
            <w:tcW w:type="dxa" w:w="2880"/>
          </w:tcPr>
          <w:p>
            <w:r>
              <w:t>Tmin Trend (Modern Period (2006-2024))</w:t>
            </w:r>
          </w:p>
        </w:tc>
        <w:tc>
          <w:tcPr>
            <w:tcW w:type="dxa" w:w="2880"/>
          </w:tcPr>
          <w:p>
            <w:r>
              <w:t>0.549°C/decade</w:t>
            </w:r>
          </w:p>
        </w:tc>
        <w:tc>
          <w:tcPr>
            <w:tcW w:type="dxa" w:w="2880"/>
          </w:tcPr>
          <w:p>
            <w:r>
              <w:t>Period-specific warming</w:t>
            </w:r>
          </w:p>
        </w:tc>
      </w:tr>
    </w:tbl>
    <w:p>
      <w:pPr>
        <w:pStyle w:val="Heading1"/>
      </w:pPr>
      <w:r>
        <w:t>4. Discussion</w:t>
      </w:r>
    </w:p>
    <w:p>
      <w:r>
        <w:t>The warming trend is most pronounced post-2000, coinciding with rapid urban expansion. Seasonal shifts suggest increased summer Tmax variability.</w:t>
        <w:br/>
        <w:t>The rise in hot days and reduction in cold nights reflect broader warming patterns, potentially amplified by local land cover changes.</w:t>
      </w:r>
    </w:p>
    <w:p>
      <w:pPr>
        <w:pStyle w:val="Heading1"/>
      </w:pPr>
      <w:r>
        <w:t>5. Conclusion</w:t>
      </w:r>
    </w:p>
    <w:p>
      <w:r>
        <w:t>Pretoria’s climate has warmed significantly, with notable changes in seasonal patterns and extreme events. These findings underscore the need for</w:t>
        <w:br/>
        <w:t>localized climate adaptation strategies and further research into microenvironmental influences.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