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DietAI24 Reproduction Report</w:t>
      </w:r>
    </w:p>
    <w:p>
      <w:r>
        <w:rPr>
          <w:color w:val="000000"/>
        </w:rPr>
        <w:t xml:space="preserve">Reference: </w:t>
      </w:r>
      <w:r>
        <w:rPr>
          <w:i/>
          <w:color w:val="000000"/>
        </w:rPr>
        <w:t>DietAI24</w:t>
      </w:r>
      <w:r>
        <w:rPr>
          <w:color w:val="000000"/>
        </w:rPr>
        <w:t xml:space="preserve">, Communications Medicine 5, 458 (2025), </w:t>
      </w:r>
      <w:hyperlink r:id="rId11">
        <w:r>
          <w:rPr>
            <w:color w:val="000000"/>
            <w:u w:val="single"/>
          </w:rPr>
          <w:t>doi:10.1038/s43856-025-01159-0</w:t>
        </w:r>
      </w:hyperlink>
      <w:r>
        <w:rPr>
          <w:color w:val="000000"/>
        </w:rPr>
        <w:t xml:space="preserve">. The reproduction starts from the authors' released code (v1.0-paper; repository baseline </w:t>
      </w:r>
      <w:r>
        <w:rPr>
          <w:rFonts w:ascii="Liberation Mono" w:hAnsi="Liberation Mono"/>
          <w:color w:val="000000"/>
          <w:sz w:val="18"/>
        </w:rPr>
        <w:t>5946365</w:t>
      </w:r>
      <w:r>
        <w:rPr>
          <w:color w:val="000000"/>
        </w:rPr>
        <w:t>).</w:t>
      </w:r>
    </w:p>
    <w:p>
      <w:pPr>
        <w:pStyle w:val="Heading1"/>
      </w:pPr>
      <w:r>
        <w:rPr>
          <w:color w:val="000000"/>
        </w:rPr>
        <w:t>Summary</w:t>
      </w:r>
    </w:p>
    <w:p>
      <w:r>
        <w:rPr>
          <w:b/>
          <w:color w:val="000000"/>
        </w:rPr>
        <w:t>The supplementary model comparison was motivated by the withdrawal of GPT-4 Turbo service.</w:t>
      </w:r>
      <w:r>
        <w:rPr>
          <w:color w:val="000000"/>
        </w:rPr>
        <w:t xml:space="preserve"> The original model was unavailable when this reproduction was performed on 27 October 2026: requests to </w:t>
      </w:r>
      <w:r>
        <w:rPr>
          <w:rFonts w:ascii="Liberation Mono" w:hAnsi="Liberation Mono"/>
          <w:color w:val="000000"/>
          <w:sz w:val="18"/>
        </w:rPr>
        <w:t>gpt-4-turbo</w:t>
      </w:r>
      <w:r>
        <w:rPr>
          <w:color w:val="000000"/>
        </w:rPr>
        <w:t xml:space="preserve"> and </w:t>
      </w:r>
      <w:r>
        <w:rPr>
          <w:rFonts w:ascii="Liberation Mono" w:hAnsi="Liberation Mono"/>
          <w:color w:val="000000"/>
          <w:sz w:val="18"/>
        </w:rPr>
        <w:t>gpt-4-turbo-2024-04-09</w:t>
      </w:r>
      <w:r>
        <w:rPr>
          <w:color w:val="000000"/>
        </w:rPr>
        <w:t xml:space="preserve"> returned HTTP 404 deprecation errors (CHECKLIST A3). We therefore used </w:t>
      </w:r>
      <w:r>
        <w:rPr>
          <w:rFonts w:ascii="Liberation Mono" w:hAnsi="Liberation Mono"/>
          <w:color w:val="000000"/>
          <w:sz w:val="18"/>
        </w:rPr>
        <w:t>gpt-4o-2024-08-06</w:t>
      </w:r>
      <w:r>
        <w:rPr>
          <w:color w:val="000000"/>
        </w:rPr>
        <w:t xml:space="preserve"> for the primary reproduction, then added a comparison with </w:t>
      </w:r>
      <w:r>
        <w:rPr>
          <w:rFonts w:ascii="Liberation Mono" w:hAnsi="Liberation Mono"/>
          <w:color w:val="000000"/>
          <w:sz w:val="18"/>
        </w:rPr>
        <w:t>gpt-6.1-sol</w:t>
      </w:r>
      <w:r>
        <w:rPr>
          <w:color w:val="000000"/>
        </w:rPr>
        <w:t xml:space="preserve"> to assess how sensitive the remaining MAE gap was to the replacement model.</w:t>
      </w:r>
    </w:p>
    <w:p>
      <w:r>
        <w:rPr>
          <w:color w:val="000000"/>
        </w:rPr>
        <w:t>Both runs used the same 150 ASA24 records and 150 Nutrition5k dishes. Prompts, parsing, retrieval index and evaluation were fixed between them; necessary differences in supported model parameters are documented below. Each configuration had one formal test run.</w:t>
      </w:r>
    </w:p>
    <w:p>
      <w:r>
        <w:rPr>
          <w:color w:val="000000"/>
        </w:rPr>
        <w:t xml:space="preserve">The Sol configuration reduced Nutrition5k weight underestimation: on 79 dishes completed by both models, weight MAE decreased from </w:t>
      </w:r>
      <w:r>
        <w:rPr>
          <w:b/>
          <w:color w:val="000000"/>
        </w:rPr>
        <w:t>96.0 to 62.2 g</w:t>
      </w:r>
      <w:r>
        <w:rPr>
          <w:color w:val="000000"/>
        </w:rPr>
        <w:t xml:space="preserve">. Energy MAE did not improve, changing from </w:t>
      </w:r>
      <w:r>
        <w:rPr>
          <w:b/>
          <w:color w:val="000000"/>
        </w:rPr>
        <w:t>126.9 to 131.8 kcal</w:t>
      </w:r>
      <w:r>
        <w:rPr>
          <w:color w:val="000000"/>
        </w:rPr>
        <w:t xml:space="preserve">. ASA24 Exact matches decreased from </w:t>
      </w:r>
      <w:r>
        <w:rPr>
          <w:b/>
          <w:color w:val="000000"/>
        </w:rPr>
        <w:t>21 to 11</w:t>
      </w:r>
      <w:r>
        <w:rPr>
          <w:color w:val="000000"/>
        </w:rPr>
        <w:t>; its lower MAE estimates were based on a smaller conditional subset. These results support a partial improvement in weight estimation, while leaving much of the nutritional error unexplained.</w:t>
      </w:r>
    </w:p>
    <w:p>
      <w:pPr>
        <w:pStyle w:val="Heading1"/>
      </w:pPr>
      <w:r>
        <w:rPr>
          <w:color w:val="000000"/>
        </w:rPr>
        <w:t>1. Study design</w:t>
      </w:r>
    </w:p>
    <w:p>
      <w:pPr>
        <w:pStyle w:val="Heading2"/>
      </w:pPr>
      <w:r>
        <w:rPr>
          <w:color w:val="000000"/>
        </w:rPr>
        <w:t>1.1 Pipeline and data</w:t>
      </w:r>
    </w:p>
    <w:p>
      <w:r>
        <w:rPr>
          <w:color w:val="000000"/>
        </w:rPr>
        <w:t>Published code was retained where available, missing components were reconstructed from the paper, and explicit conflicts were resolved in favor of the paper. The pipeline:</w:t>
      </w:r>
    </w:p>
    <w:p>
      <w:pPr>
        <w:pStyle w:val="ListNumber"/>
      </w:pPr>
      <w:r>
        <w:rPr>
          <w:color w:val="000000"/>
        </w:rPr>
        <w:t>Resizes each image to 256 × 256 pixels and generates a food description.</w:t>
      </w:r>
    </w:p>
    <w:p>
      <w:pPr>
        <w:pStyle w:val="ListNumber"/>
      </w:pPr>
      <w:r>
        <w:rPr>
          <w:color w:val="000000"/>
        </w:rPr>
        <w:t xml:space="preserve">Generates multiple textual queries and retrieves FNDDS candidates from the same persisted index of 5,624 food descriptions, embedded with </w:t>
      </w:r>
      <w:r>
        <w:rPr>
          <w:rFonts w:ascii="Liberation Mono" w:hAnsi="Liberation Mono"/>
          <w:color w:val="000000"/>
          <w:sz w:val="18"/>
        </w:rPr>
        <w:t>text-embedding-3-large</w:t>
      </w:r>
      <w:r>
        <w:rPr>
          <w:color w:val="000000"/>
        </w:rPr>
        <w:t>.</w:t>
      </w:r>
    </w:p>
    <w:p>
      <w:pPr>
        <w:pStyle w:val="ListNumber"/>
      </w:pPr>
      <w:r>
        <w:rPr>
          <w:color w:val="000000"/>
        </w:rPr>
        <w:t>Selects food codes using the image and retrieved candidates.</w:t>
      </w:r>
    </w:p>
    <w:p>
      <w:pPr>
        <w:pStyle w:val="ListNumber"/>
      </w:pPr>
      <w:r>
        <w:rPr>
          <w:color w:val="000000"/>
        </w:rPr>
        <w:t>Estimates ASA24 portion options and amounts, or grams for each identified Nutrition5k food.</w:t>
      </w:r>
    </w:p>
    <w:p>
      <w:pPr>
        <w:pStyle w:val="ListNumber"/>
      </w:pPr>
      <w:r>
        <w:rPr>
          <w:color w:val="000000"/>
        </w:rPr>
        <w:t>Converts grams to nutrients using FNDDS values per 100 g. For a Nutrition5k food with several candidate codes, nutrient densities are averaged before summing foods.</w:t>
      </w:r>
    </w:p>
    <w:p>
      <w:r>
        <w:rPr>
          <w:color w:val="000000"/>
        </w:rPr>
        <w:t>Each image is processed independently, without carrying earlier images or answers into later requests. Reference labels are excluded from inference except for the explicitly conditional ASA24 protocol described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238"/>
        <w:gridCol w:w="2275"/>
        <w:gridCol w:w="2174"/>
        <w:gridCol w:w="4594"/>
      </w:tblGrid>
      <w:tr>
        <w:trPr>
          <w:cantSplit/>
          <w:tblHeader/>
        </w:trPr>
        <w:tc>
          <w:tcPr>
            <w:tcW w:type="dxa" w:w="1238"/>
            <w:vAlign w:val="center"/>
            <w:shd w:fill="E5EAF0"/>
          </w:tcPr>
          <w:p>
            <w:pPr>
              <w:pStyle w:val="TableText"/>
              <w:keepNext/>
              <w:jc w:val="left"/>
            </w:pPr>
            <w:r>
              <w:rPr>
                <w:b/>
                <w:color w:val="000000"/>
                <w:sz w:val="18"/>
              </w:rPr>
              <w:t>Dataset</w:t>
            </w:r>
          </w:p>
        </w:tc>
        <w:tc>
          <w:tcPr>
            <w:tcW w:type="dxa" w:w="2275"/>
            <w:vAlign w:val="center"/>
            <w:shd w:fill="E5EAF0"/>
          </w:tcPr>
          <w:p>
            <w:pPr>
              <w:pStyle w:val="TableText"/>
              <w:keepNext/>
              <w:jc w:val="left"/>
            </w:pPr>
            <w:r>
              <w:rPr>
                <w:b/>
                <w:color w:val="000000"/>
                <w:sz w:val="18"/>
              </w:rPr>
              <w:t>Reproduction sample</w:t>
            </w:r>
          </w:p>
        </w:tc>
        <w:tc>
          <w:tcPr>
            <w:tcW w:type="dxa" w:w="2174"/>
            <w:vAlign w:val="center"/>
            <w:shd w:fill="E5EAF0"/>
          </w:tcPr>
          <w:p>
            <w:pPr>
              <w:pStyle w:val="TableText"/>
              <w:keepNext/>
              <w:jc w:val="left"/>
            </w:pPr>
            <w:r>
              <w:rPr>
                <w:b/>
                <w:color w:val="000000"/>
                <w:sz w:val="18"/>
              </w:rPr>
              <w:t>Paper sample</w:t>
            </w:r>
          </w:p>
        </w:tc>
        <w:tc>
          <w:tcPr>
            <w:tcW w:type="dxa" w:w="4594"/>
            <w:vAlign w:val="center"/>
            <w:shd w:fill="E5EAF0"/>
          </w:tcPr>
          <w:p>
            <w:pPr>
              <w:pStyle w:val="TableText"/>
              <w:keepNext/>
              <w:jc w:val="left"/>
            </w:pPr>
            <w:r>
              <w:rPr>
                <w:b/>
                <w:color w:val="000000"/>
                <w:sz w:val="18"/>
              </w:rPr>
              <w:t>Sampling frame</w:t>
            </w:r>
          </w:p>
        </w:tc>
      </w:tr>
      <w:tr>
        <w:trPr>
          <w:cantSplit/>
        </w:trPr>
        <w:tc>
          <w:tcPr>
            <w:tcW w:type="dxa" w:w="1238"/>
            <w:vAlign w:val="center"/>
            <w:shd w:fill="FFFFFF"/>
          </w:tcPr>
          <w:p>
            <w:pPr>
              <w:pStyle w:val="TableText"/>
              <w:keepNext/>
              <w:jc w:val="left"/>
            </w:pPr>
            <w:r>
              <w:rPr>
                <w:color w:val="000000"/>
                <w:sz w:val="18"/>
              </w:rPr>
              <w:t>ASA24</w:t>
            </w:r>
          </w:p>
        </w:tc>
        <w:tc>
          <w:tcPr>
            <w:tcW w:type="dxa" w:w="2275"/>
            <w:vAlign w:val="center"/>
            <w:shd w:fill="FFFFFF"/>
          </w:tcPr>
          <w:p>
            <w:pPr>
              <w:pStyle w:val="TableText"/>
              <w:keepNext/>
              <w:jc w:val="left"/>
            </w:pPr>
            <w:r>
              <w:rPr>
                <w:color w:val="000000"/>
                <w:sz w:val="18"/>
              </w:rPr>
              <w:t>150 records: 50 codes × three portion sizes</w:t>
            </w:r>
          </w:p>
        </w:tc>
        <w:tc>
          <w:tcPr>
            <w:tcW w:type="dxa" w:w="2174"/>
            <w:vAlign w:val="center"/>
            <w:shd w:fill="FFFFFF"/>
          </w:tcPr>
          <w:p>
            <w:pPr>
              <w:pStyle w:val="TableText"/>
              <w:keepNext/>
              <w:jc w:val="left"/>
            </w:pPr>
            <w:r>
              <w:rPr>
                <w:color w:val="000000"/>
                <w:sz w:val="18"/>
              </w:rPr>
              <w:t>3,000 images: 1,000 codes × three sizes</w:t>
            </w:r>
          </w:p>
        </w:tc>
        <w:tc>
          <w:tcPr>
            <w:tcW w:type="dxa" w:w="4594"/>
            <w:vAlign w:val="center"/>
            <w:shd w:fill="FFFFFF"/>
          </w:tcPr>
          <w:p>
            <w:pPr>
              <w:pStyle w:val="TableText"/>
              <w:keepNext/>
              <w:jc w:val="left"/>
            </w:pPr>
            <w:r>
              <w:rPr>
                <w:color w:val="000000"/>
                <w:sz w:val="18"/>
              </w:rPr>
              <w:t>50 codes sampled with a fixed seed from 284 eligible high-frequency codes with exact portion-code mappings and three distinct weights</w:t>
            </w:r>
          </w:p>
        </w:tc>
      </w:tr>
      <w:tr>
        <w:trPr>
          <w:cantSplit/>
        </w:trPr>
        <w:tc>
          <w:tcPr>
            <w:tcW w:type="dxa" w:w="1238"/>
            <w:vAlign w:val="center"/>
            <w:shd w:fill="F6F7F9"/>
          </w:tcPr>
          <w:p>
            <w:pPr>
              <w:pStyle w:val="TableText"/>
              <w:keepNext w:val="0"/>
              <w:jc w:val="left"/>
            </w:pPr>
            <w:r>
              <w:rPr>
                <w:color w:val="000000"/>
                <w:sz w:val="18"/>
              </w:rPr>
              <w:t>Nutrition5k</w:t>
            </w:r>
          </w:p>
        </w:tc>
        <w:tc>
          <w:tcPr>
            <w:tcW w:type="dxa" w:w="2275"/>
            <w:vAlign w:val="center"/>
            <w:shd w:fill="F6F7F9"/>
          </w:tcPr>
          <w:p>
            <w:pPr>
              <w:pStyle w:val="TableText"/>
              <w:keepNext w:val="0"/>
              <w:jc w:val="left"/>
            </w:pPr>
            <w:r>
              <w:rPr>
                <w:color w:val="000000"/>
                <w:sz w:val="18"/>
              </w:rPr>
              <w:t>150 dishes</w:t>
            </w:r>
          </w:p>
        </w:tc>
        <w:tc>
          <w:tcPr>
            <w:tcW w:type="dxa" w:w="2174"/>
            <w:vAlign w:val="center"/>
            <w:shd w:fill="F6F7F9"/>
          </w:tcPr>
          <w:p>
            <w:pPr>
              <w:pStyle w:val="TableText"/>
              <w:keepNext w:val="0"/>
              <w:jc w:val="left"/>
            </w:pPr>
            <w:r>
              <w:rPr>
                <w:color w:val="000000"/>
                <w:sz w:val="18"/>
              </w:rPr>
              <w:t>1,000 dishes</w:t>
            </w:r>
          </w:p>
        </w:tc>
        <w:tc>
          <w:tcPr>
            <w:tcW w:type="dxa" w:w="4594"/>
            <w:vAlign w:val="center"/>
            <w:shd w:fill="F6F7F9"/>
          </w:tcPr>
          <w:p>
            <w:pPr>
              <w:pStyle w:val="TableText"/>
              <w:keepNext w:val="0"/>
              <w:jc w:val="left"/>
            </w:pPr>
            <w:r>
              <w:rPr>
                <w:color w:val="000000"/>
                <w:sz w:val="18"/>
              </w:rPr>
              <w:t>Fixed-seed sample from 1,906 eligible overhead-image dishes, all from Cafe 1, after ingredient-set deduplication and exclusion of missing nutrient labels</w:t>
            </w:r>
          </w:p>
        </w:tc>
      </w:tr>
    </w:tbl>
    <w:p>
      <w:pPr>
        <w:keepNext w:val="0"/>
        <w:spacing w:after="40" w:before="0" w:line="40" w:lineRule="exact"/>
      </w:pPr>
      <w:r>
        <w:rPr>
          <w:sz w:val="4"/>
        </w:rPr>
      </w:r>
    </w:p>
    <w:p>
      <w:r>
        <w:rPr>
          <w:color w:val="000000"/>
        </w:rPr>
        <w:t>Development data comprised 10 ASA24 records and 10 Nutrition5k dishes, separate from the test sets; ASA24 development codes were also separate. Image resizing uses bicubic interpolation without preserving aspect ratio; ASA24 transparency is retained.</w:t>
      </w:r>
    </w:p>
    <w:p>
      <w:r>
        <w:rPr>
          <w:color w:val="000000"/>
        </w:rPr>
        <w:t xml:space="preserve">ASA24 contains </w:t>
      </w:r>
      <w:r>
        <w:rPr>
          <w:b/>
          <w:color w:val="000000"/>
        </w:rPr>
        <w:t>117 distinct photographs among the 150 records</w:t>
      </w:r>
      <w:r>
        <w:rPr>
          <w:color w:val="000000"/>
        </w:rPr>
        <w:t>. A portion photograph can be associated with several food codes. Reference weight is the metadata multiplier times the matching FNDDS portion weight. These properties limit how well the image alone identifies its assigned code and complicate uncertainty estimates.</w:t>
      </w:r>
    </w:p>
    <w:p>
      <w:pPr>
        <w:pStyle w:val="Heading2"/>
      </w:pPr>
      <w:r>
        <w:rPr>
          <w:color w:val="000000"/>
        </w:rPr>
        <w:t>1.2 Evaluation</w:t>
      </w:r>
    </w:p>
    <w:p>
      <w:pPr>
        <w:pStyle w:val="ListBullet"/>
      </w:pPr>
      <w:r>
        <w:rPr>
          <w:b/>
          <w:color w:val="000000"/>
        </w:rPr>
        <w:t>MAE per dish</w:t>
      </w:r>
      <w:r>
        <w:rPr>
          <w:color w:val="000000"/>
        </w:rPr>
        <w:t xml:space="preserve"> is mean absolute prediction error. </w:t>
      </w:r>
      <w:r>
        <w:rPr>
          <w:b/>
          <w:color w:val="000000"/>
        </w:rPr>
        <w:t>MAE per unit</w:t>
      </w:r>
      <w:r>
        <w:rPr>
          <w:color w:val="000000"/>
        </w:rPr>
        <w:t xml:space="preserve"> is MAE divided by the mean reference value over the same valid observations, following Tables 1–2. The targets are weight, energy, fat, carbohydrate and protein.</w:t>
      </w:r>
    </w:p>
    <w:p>
      <w:pPr>
        <w:pStyle w:val="ListBullet"/>
      </w:pPr>
      <w:r>
        <w:rPr>
          <w:b/>
          <w:color w:val="000000"/>
        </w:rPr>
        <w:t>ASA24 conditional protocol:</w:t>
      </w:r>
      <w:r>
        <w:rPr>
          <w:color w:val="000000"/>
        </w:rPr>
        <w:t xml:space="preserve"> nutrition is evaluated only when the predicted codes contain the reference code (</w:t>
      </w:r>
      <w:r>
        <w:rPr>
          <w:rFonts w:ascii="Liberation Mono" w:hAnsi="Liberation Mono"/>
          <w:color w:val="000000"/>
          <w:sz w:val="18"/>
        </w:rPr>
        <w:t>FoodCodeCommon</w:t>
      </w:r>
      <w:r>
        <w:rPr>
          <w:color w:val="000000"/>
        </w:rPr>
        <w:t xml:space="preserve">). Portion options and nutrient density then use that reference code, so nutritional error reflects portion estimation. The main </w:t>
      </w:r>
      <w:r>
        <w:rPr>
          <w:i/>
          <w:color w:val="000000"/>
        </w:rPr>
        <w:t>option</w:t>
      </w:r>
      <w:r>
        <w:rPr>
          <w:color w:val="000000"/>
        </w:rPr>
        <w:t xml:space="preserve"> reading uses the selected portion's weight. The secondary </w:t>
      </w:r>
      <w:r>
        <w:rPr>
          <w:i/>
          <w:color w:val="000000"/>
        </w:rPr>
        <w:t>amount</w:t>
      </w:r>
      <w:r>
        <w:rPr>
          <w:color w:val="000000"/>
        </w:rPr>
        <w:t xml:space="preserve"> reading uses the predicted number of units times unit weight. This conditional interpretation follows the released code's data flow; the paper does not explicitly state the MAE inclusion rule.</w:t>
      </w:r>
    </w:p>
    <w:p>
      <w:pPr>
        <w:pStyle w:val="ListBullet"/>
      </w:pPr>
      <w:r>
        <w:rPr>
          <w:b/>
          <w:color w:val="000000"/>
        </w:rPr>
        <w:t>Nutrition5k:</w:t>
      </w:r>
      <w:r>
        <w:rPr>
          <w:color w:val="000000"/>
        </w:rPr>
        <w:t xml:space="preserve"> the main analysis includes only complete dishes: at least one identified food, valid grams for every identified item, and a valid FNDDS code for every item. Partial-dish estimates remain available as secondary results.</w:t>
      </w:r>
    </w:p>
    <w:p>
      <w:pPr>
        <w:pStyle w:val="ListBullet"/>
      </w:pPr>
      <w:r>
        <w:rPr>
          <w:b/>
          <w:color w:val="000000"/>
        </w:rPr>
        <w:t>Recognition:</w:t>
      </w:r>
      <w:r>
        <w:rPr>
          <w:color w:val="000000"/>
        </w:rPr>
        <w:t xml:space="preserve"> Exact means the full code matches; Close means the first two digits match; Far means the first digit matches. Close includes Exact, and Far includes Close, following the cumulative interpretation of Table 3. </w:t>
      </w:r>
      <w:r>
        <w:rPr>
          <w:i/>
          <w:color w:val="000000"/>
        </w:rPr>
        <w:t>Any</w:t>
      </w:r>
      <w:r>
        <w:rPr>
          <w:color w:val="000000"/>
        </w:rPr>
        <w:t xml:space="preserve"> uses the best match among predicted codes; </w:t>
      </w:r>
      <w:r>
        <w:rPr>
          <w:i/>
          <w:color w:val="000000"/>
        </w:rPr>
        <w:t>first</w:t>
      </w:r>
      <w:r>
        <w:rPr>
          <w:color w:val="000000"/>
        </w:rPr>
        <w:t xml:space="preserve"> uses only the first. Their denominator is records with a code output.</w:t>
      </w:r>
    </w:p>
    <w:p>
      <w:pPr>
        <w:pStyle w:val="ListBullet"/>
      </w:pPr>
      <w:r>
        <w:rPr>
          <w:b/>
          <w:color w:val="000000"/>
        </w:rPr>
        <w:t>Success rates</w:t>
      </w:r>
      <w:r>
        <w:rPr>
          <w:color w:val="000000"/>
        </w:rPr>
        <w:t xml:space="preserve"> measure whether the required code or portion output was produced, regardless of correctness. Invalid options, unreadable numbers, missing codes and unestimated items remain failures. They are not converted into successful zero-error observations.</w:t>
      </w:r>
    </w:p>
    <w:p>
      <w:pPr>
        <w:pStyle w:val="ListBullet"/>
      </w:pPr>
      <w:r>
        <w:rPr>
          <w:b/>
          <w:color w:val="000000"/>
        </w:rPr>
        <w:t>Portion classification accuracy</w:t>
      </w:r>
      <w:r>
        <w:rPr>
          <w:color w:val="000000"/>
        </w:rPr>
        <w:t xml:space="preserve"> compares the selected option with the reference option. Unit error compares the predicted amount with the reference number of units; unreadable amounts are excluded from that error and separately counted as failures.</w:t>
      </w:r>
    </w:p>
    <w:p>
      <w:r>
        <w:rPr>
          <w:color w:val="000000"/>
        </w:rPr>
        <w:t>The supplementary ASA24 end-to-end analysis uses predicted codes without reference-code conditioning. Its results remain in the saved metrics and are not expanded here. Size-specific, amount-based and partial-dish results are also retained in the original metric files.</w:t>
      </w:r>
    </w:p>
    <w:p>
      <w:pPr>
        <w:pStyle w:val="Heading2"/>
      </w:pPr>
      <w:r>
        <w:rPr>
          <w:color w:val="000000"/>
        </w:rPr>
        <w:t>1.3 Replacement models and necessary parameter differences</w:t>
      </w:r>
    </w:p>
    <w:p>
      <w:r>
        <w:rPr>
          <w:color w:val="000000"/>
        </w:rPr>
        <w:t>The paper used GPT-4 Vision-Preview and GPT-4 1106-Preview (GPT-4 Turbo), with temperature 0. Both text and vision steps were replaced together in this reproduction.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3240"/>
        <w:gridCol w:w="3240"/>
        <w:gridCol w:w="3802"/>
      </w:tblGrid>
      <w:tr>
        <w:trPr>
          <w:cantSplit/>
          <w:tblHeader/>
        </w:trPr>
        <w:tc>
          <w:tcPr>
            <w:tcW w:type="dxa" w:w="3240"/>
            <w:vAlign w:val="center"/>
            <w:shd w:fill="E5EAF0"/>
          </w:tcPr>
          <w:p>
            <w:pPr>
              <w:pStyle w:val="TableText"/>
              <w:keepNext/>
              <w:jc w:val="left"/>
            </w:pPr>
            <w:r>
              <w:rPr>
                <w:b/>
                <w:color w:val="000000"/>
                <w:sz w:val="18"/>
              </w:rPr>
              <w:t>Setting</w:t>
            </w:r>
          </w:p>
        </w:tc>
        <w:tc>
          <w:tcPr>
            <w:tcW w:type="dxa" w:w="3240"/>
            <w:vAlign w:val="center"/>
            <w:shd w:fill="E5EAF0"/>
          </w:tcPr>
          <w:p>
            <w:pPr>
              <w:pStyle w:val="TableText"/>
              <w:keepNext/>
              <w:jc w:val="left"/>
            </w:pPr>
            <w:r>
              <w:rPr>
                <w:b/>
                <w:color w:val="000000"/>
                <w:sz w:val="18"/>
              </w:rPr>
              <w:t>Primary reproduction: GPT-4o</w:t>
            </w:r>
          </w:p>
        </w:tc>
        <w:tc>
          <w:tcPr>
            <w:tcW w:type="dxa" w:w="3802"/>
            <w:vAlign w:val="center"/>
            <w:shd w:fill="E5EAF0"/>
          </w:tcPr>
          <w:p>
            <w:pPr>
              <w:pStyle w:val="TableText"/>
              <w:keepNext/>
              <w:jc w:val="left"/>
            </w:pPr>
            <w:r>
              <w:rPr>
                <w:b/>
                <w:color w:val="000000"/>
                <w:sz w:val="18"/>
              </w:rPr>
              <w:t>Supplementary comparison: Sol</w:t>
            </w:r>
          </w:p>
        </w:tc>
      </w:tr>
      <w:tr>
        <w:trPr>
          <w:cantSplit/>
        </w:trPr>
        <w:tc>
          <w:tcPr>
            <w:tcW w:type="dxa" w:w="3240"/>
            <w:vAlign w:val="center"/>
            <w:shd w:fill="FFFFFF"/>
          </w:tcPr>
          <w:p>
            <w:pPr>
              <w:pStyle w:val="TableText"/>
              <w:keepNext/>
              <w:jc w:val="left"/>
            </w:pPr>
            <w:r>
              <w:rPr>
                <w:color w:val="000000"/>
                <w:sz w:val="18"/>
              </w:rPr>
              <w:t>Model identifier</w:t>
            </w:r>
          </w:p>
        </w:tc>
        <w:tc>
          <w:tcPr>
            <w:tcW w:type="dxa" w:w="3240"/>
            <w:vAlign w:val="center"/>
            <w:shd w:fill="FFFFFF"/>
          </w:tcPr>
          <w:p>
            <w:pPr>
              <w:pStyle w:val="TableText"/>
              <w:keepNext/>
              <w:jc w:val="left"/>
            </w:pPr>
            <w:r>
              <w:rPr>
                <w:rFonts w:ascii="Liberation Mono" w:hAnsi="Liberation Mono"/>
                <w:color w:val="000000"/>
                <w:sz w:val="18"/>
              </w:rPr>
              <w:t>gpt-4o-2024-08-06</w:t>
            </w:r>
          </w:p>
        </w:tc>
        <w:tc>
          <w:tcPr>
            <w:tcW w:type="dxa" w:w="3802"/>
            <w:vAlign w:val="center"/>
            <w:shd w:fill="FFFFFF"/>
          </w:tcPr>
          <w:p>
            <w:pPr>
              <w:pStyle w:val="TableText"/>
              <w:keepNext/>
              <w:jc w:val="left"/>
            </w:pPr>
            <w:r>
              <w:rPr>
                <w:rFonts w:ascii="Liberation Mono" w:hAnsi="Liberation Mono"/>
                <w:color w:val="000000"/>
                <w:sz w:val="18"/>
              </w:rPr>
              <w:t>gpt-6.1-sol</w:t>
            </w:r>
          </w:p>
        </w:tc>
      </w:tr>
      <w:tr>
        <w:trPr>
          <w:cantSplit/>
        </w:trPr>
        <w:tc>
          <w:tcPr>
            <w:tcW w:type="dxa" w:w="3240"/>
            <w:vAlign w:val="center"/>
            <w:shd w:fill="F6F7F9"/>
          </w:tcPr>
          <w:p>
            <w:pPr>
              <w:pStyle w:val="TableText"/>
              <w:keepNext/>
              <w:jc w:val="left"/>
            </w:pPr>
            <w:r>
              <w:rPr>
                <w:color w:val="000000"/>
                <w:sz w:val="18"/>
              </w:rPr>
              <w:t>Temperature</w:t>
            </w:r>
          </w:p>
        </w:tc>
        <w:tc>
          <w:tcPr>
            <w:tcW w:type="dxa" w:w="3240"/>
            <w:vAlign w:val="center"/>
            <w:shd w:fill="F6F7F9"/>
          </w:tcPr>
          <w:p>
            <w:pPr>
              <w:pStyle w:val="TableText"/>
              <w:keepNext/>
              <w:jc w:val="left"/>
            </w:pPr>
            <w:r>
              <w:rPr>
                <w:color w:val="000000"/>
                <w:sz w:val="18"/>
              </w:rPr>
              <w:t>0</w:t>
            </w:r>
          </w:p>
        </w:tc>
        <w:tc>
          <w:tcPr>
            <w:tcW w:type="dxa" w:w="3802"/>
            <w:vAlign w:val="center"/>
            <w:shd w:fill="F6F7F9"/>
          </w:tcPr>
          <w:p>
            <w:pPr>
              <w:pStyle w:val="TableText"/>
              <w:keepNext/>
              <w:jc w:val="left"/>
            </w:pPr>
            <w:r>
              <w:rPr>
                <w:color w:val="000000"/>
                <w:sz w:val="18"/>
              </w:rPr>
              <w:t>1, because 0 was rejected</w:t>
            </w:r>
          </w:p>
        </w:tc>
      </w:tr>
      <w:tr>
        <w:trPr>
          <w:cantSplit/>
        </w:trPr>
        <w:tc>
          <w:tcPr>
            <w:tcW w:type="dxa" w:w="3240"/>
            <w:vAlign w:val="center"/>
            <w:shd w:fill="FFFFFF"/>
          </w:tcPr>
          <w:p>
            <w:pPr>
              <w:pStyle w:val="TableText"/>
              <w:keepNext/>
              <w:jc w:val="left"/>
            </w:pPr>
            <w:r>
              <w:rPr>
                <w:color w:val="000000"/>
                <w:sz w:val="18"/>
              </w:rPr>
              <w:t>Description token limit</w:t>
            </w:r>
          </w:p>
        </w:tc>
        <w:tc>
          <w:tcPr>
            <w:tcW w:type="dxa" w:w="3240"/>
            <w:vAlign w:val="center"/>
            <w:shd w:fill="FFFFFF"/>
          </w:tcPr>
          <w:p>
            <w:pPr>
              <w:pStyle w:val="TableText"/>
              <w:keepNext/>
              <w:jc w:val="left"/>
            </w:pPr>
            <w:r>
              <w:rPr>
                <w:rFonts w:ascii="Liberation Mono" w:hAnsi="Liberation Mono"/>
                <w:color w:val="000000"/>
                <w:sz w:val="18"/>
              </w:rPr>
              <w:t>max_tokens=200</w:t>
            </w:r>
          </w:p>
        </w:tc>
        <w:tc>
          <w:tcPr>
            <w:tcW w:type="dxa" w:w="3802"/>
            <w:vAlign w:val="center"/>
            <w:shd w:fill="FFFFFF"/>
          </w:tcPr>
          <w:p>
            <w:pPr>
              <w:pStyle w:val="TableText"/>
              <w:keepNext/>
              <w:jc w:val="left"/>
            </w:pPr>
            <w:r>
              <w:rPr>
                <w:rFonts w:ascii="Liberation Mono" w:hAnsi="Liberation Mono"/>
                <w:color w:val="000000"/>
                <w:sz w:val="18"/>
              </w:rPr>
              <w:t>max_completion_tokens=4096</w:t>
            </w:r>
          </w:p>
        </w:tc>
      </w:tr>
      <w:tr>
        <w:trPr>
          <w:cantSplit/>
        </w:trPr>
        <w:tc>
          <w:tcPr>
            <w:tcW w:type="dxa" w:w="3240"/>
            <w:vAlign w:val="center"/>
            <w:shd w:fill="F6F7F9"/>
          </w:tcPr>
          <w:p>
            <w:pPr>
              <w:pStyle w:val="TableText"/>
              <w:keepNext/>
              <w:jc w:val="left"/>
            </w:pPr>
            <w:r>
              <w:rPr>
                <w:color w:val="000000"/>
                <w:sz w:val="18"/>
              </w:rPr>
              <w:t>Portion token limit</w:t>
            </w:r>
          </w:p>
        </w:tc>
        <w:tc>
          <w:tcPr>
            <w:tcW w:type="dxa" w:w="3240"/>
            <w:vAlign w:val="center"/>
            <w:shd w:fill="F6F7F9"/>
          </w:tcPr>
          <w:p>
            <w:pPr>
              <w:pStyle w:val="TableText"/>
              <w:keepNext/>
              <w:jc w:val="left"/>
            </w:pPr>
            <w:r>
              <w:rPr>
                <w:rFonts w:ascii="Liberation Mono" w:hAnsi="Liberation Mono"/>
                <w:color w:val="000000"/>
                <w:sz w:val="18"/>
              </w:rPr>
              <w:t>max_tokens=600</w:t>
            </w:r>
          </w:p>
        </w:tc>
        <w:tc>
          <w:tcPr>
            <w:tcW w:type="dxa" w:w="3802"/>
            <w:vAlign w:val="center"/>
            <w:shd w:fill="F6F7F9"/>
          </w:tcPr>
          <w:p>
            <w:pPr>
              <w:pStyle w:val="TableText"/>
              <w:keepNext/>
              <w:jc w:val="left"/>
            </w:pPr>
            <w:r>
              <w:rPr>
                <w:rFonts w:ascii="Liberation Mono" w:hAnsi="Liberation Mono"/>
                <w:color w:val="000000"/>
                <w:sz w:val="18"/>
              </w:rPr>
              <w:t>max_completion_tokens=600</w:t>
            </w:r>
          </w:p>
        </w:tc>
      </w:tr>
      <w:tr>
        <w:trPr>
          <w:cantSplit/>
        </w:trPr>
        <w:tc>
          <w:tcPr>
            <w:tcW w:type="dxa" w:w="3240"/>
            <w:vAlign w:val="center"/>
            <w:shd w:fill="FFFFFF"/>
          </w:tcPr>
          <w:p>
            <w:pPr>
              <w:pStyle w:val="TableText"/>
              <w:keepNext/>
              <w:jc w:val="left"/>
            </w:pPr>
            <w:r>
              <w:rPr>
                <w:color w:val="000000"/>
                <w:sz w:val="18"/>
              </w:rPr>
              <w:t>Multi-query / code-selection limit</w:t>
            </w:r>
          </w:p>
        </w:tc>
        <w:tc>
          <w:tcPr>
            <w:tcW w:type="dxa" w:w="3240"/>
            <w:vAlign w:val="center"/>
            <w:shd w:fill="FFFFFF"/>
          </w:tcPr>
          <w:p>
            <w:pPr>
              <w:pStyle w:val="TableText"/>
              <w:keepNext/>
              <w:jc w:val="left"/>
            </w:pPr>
            <w:r>
              <w:rPr>
                <w:color w:val="000000"/>
                <w:sz w:val="18"/>
              </w:rPr>
              <w:t>No explicit cap</w:t>
            </w:r>
          </w:p>
        </w:tc>
        <w:tc>
          <w:tcPr>
            <w:tcW w:type="dxa" w:w="3802"/>
            <w:vAlign w:val="center"/>
            <w:shd w:fill="FFFFFF"/>
          </w:tcPr>
          <w:p>
            <w:pPr>
              <w:pStyle w:val="TableText"/>
              <w:keepNext/>
              <w:jc w:val="left"/>
            </w:pPr>
            <w:r>
              <w:rPr>
                <w:color w:val="000000"/>
                <w:sz w:val="18"/>
              </w:rPr>
              <w:t>No explicit cap</w:t>
            </w:r>
          </w:p>
        </w:tc>
      </w:tr>
      <w:tr>
        <w:trPr>
          <w:cantSplit/>
        </w:trPr>
        <w:tc>
          <w:tcPr>
            <w:tcW w:type="dxa" w:w="3240"/>
            <w:vAlign w:val="center"/>
            <w:shd w:fill="F6F7F9"/>
          </w:tcPr>
          <w:p>
            <w:pPr>
              <w:pStyle w:val="TableText"/>
              <w:keepNext w:val="0"/>
              <w:jc w:val="left"/>
            </w:pPr>
            <w:r>
              <w:rPr>
                <w:color w:val="000000"/>
                <w:sz w:val="18"/>
              </w:rPr>
              <w:t>Reasoning effort</w:t>
            </w:r>
          </w:p>
        </w:tc>
        <w:tc>
          <w:tcPr>
            <w:tcW w:type="dxa" w:w="3240"/>
            <w:vAlign w:val="center"/>
            <w:shd w:fill="F6F7F9"/>
          </w:tcPr>
          <w:p>
            <w:pPr>
              <w:pStyle w:val="TableText"/>
              <w:keepNext w:val="0"/>
              <w:jc w:val="left"/>
            </w:pPr>
            <w:r>
              <w:rPr>
                <w:color w:val="000000"/>
                <w:sz w:val="18"/>
              </w:rPr>
              <w:t>Not applicable</w:t>
            </w:r>
          </w:p>
        </w:tc>
        <w:tc>
          <w:tcPr>
            <w:tcW w:type="dxa" w:w="3802"/>
            <w:vAlign w:val="center"/>
            <w:shd w:fill="F6F7F9"/>
          </w:tcPr>
          <w:p>
            <w:pPr>
              <w:pStyle w:val="TableText"/>
              <w:keepNext w:val="0"/>
              <w:jc w:val="left"/>
            </w:pPr>
            <w:r>
              <w:rPr>
                <w:color w:val="000000"/>
                <w:sz w:val="18"/>
              </w:rPr>
              <w:t>Unspecified; documented default medium</w:t>
            </w:r>
          </w:p>
        </w:tc>
      </w:tr>
    </w:tbl>
    <w:p>
      <w:pPr>
        <w:keepNext w:val="0"/>
        <w:spacing w:after="40" w:before="0" w:line="40" w:lineRule="exact"/>
      </w:pPr>
      <w:r>
        <w:rPr>
          <w:sz w:val="4"/>
        </w:rPr>
      </w:r>
    </w:p>
    <w:p>
      <w:r>
        <w:rPr>
          <w:color w:val="000000"/>
        </w:rPr>
        <w:t xml:space="preserve">Sol rejected </w:t>
      </w:r>
      <w:r>
        <w:rPr>
          <w:rFonts w:ascii="Liberation Mono" w:hAnsi="Liberation Mono"/>
          <w:color w:val="000000"/>
          <w:sz w:val="18"/>
        </w:rPr>
        <w:t>max_tokens</w:t>
      </w:r>
      <w:r>
        <w:rPr>
          <w:color w:val="000000"/>
        </w:rPr>
        <w:t>. With the replacement parameter but the original 200-token description limit, one development response spent its entire budget on reasoning and returned no text. Only its description limit was therefore increased to 4096. The final development run had 92 successful chat responses, all nonempty and normally completed, before the formal test.</w:t>
      </w:r>
    </w:p>
    <w:p>
      <w:r>
        <w:rPr>
          <w:color w:val="000000"/>
        </w:rPr>
        <w:t xml:space="preserve">All other inputs and inference logic were held fixed, including the development-approved prompt adaptations in Section 4. The comparison evaluates </w:t>
      </w:r>
      <w:r>
        <w:rPr>
          <w:b/>
          <w:color w:val="000000"/>
        </w:rPr>
        <w:t>replacement models with their necessary supported settings</w:t>
      </w:r>
      <w:r>
        <w:rPr>
          <w:color w:val="000000"/>
        </w:rPr>
        <w:t>. Because temperature and the description budget also changed, their effects cannot be separated from model capability. Sol's token limits include reasoning as well as visible output; each run is one realization of model responses.</w:t>
      </w:r>
    </w:p>
    <w:p>
      <w:pPr>
        <w:pStyle w:val="Heading1"/>
      </w:pPr>
      <w:r>
        <w:rPr>
          <w:color w:val="000000"/>
        </w:rPr>
        <w:t>2. Results</w:t>
      </w:r>
    </w:p>
    <w:p>
      <w:pPr>
        <w:pStyle w:val="Heading2"/>
      </w:pPr>
      <w:r>
        <w:rPr>
          <w:color w:val="000000"/>
        </w:rPr>
        <w:t>2.1 Output success, recognition and portions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4320"/>
        <w:gridCol w:w="1685"/>
        <w:gridCol w:w="1685"/>
        <w:gridCol w:w="2592"/>
      </w:tblGrid>
      <w:tr>
        <w:trPr>
          <w:cantSplit/>
          <w:tblHeader/>
        </w:trPr>
        <w:tc>
          <w:tcPr>
            <w:tcW w:type="dxa" w:w="4320"/>
            <w:vAlign w:val="center"/>
            <w:shd w:fill="E5EAF0"/>
          </w:tcPr>
          <w:p>
            <w:pPr>
              <w:pStyle w:val="TableText"/>
              <w:keepNext/>
              <w:jc w:val="left"/>
            </w:pPr>
            <w:r>
              <w:rPr>
                <w:b/>
                <w:color w:val="000000"/>
                <w:sz w:val="18"/>
              </w:rPr>
              <w:t>Metric and denominator</w:t>
            </w:r>
          </w:p>
        </w:tc>
        <w:tc>
          <w:tcPr>
            <w:tcW w:type="dxa" w:w="1685"/>
            <w:vAlign w:val="center"/>
            <w:shd w:fill="E5EAF0"/>
          </w:tcPr>
          <w:p>
            <w:pPr>
              <w:pStyle w:val="TableText"/>
              <w:keepNext/>
              <w:jc w:val="center"/>
            </w:pPr>
            <w:r>
              <w:rPr>
                <w:b/>
                <w:color w:val="000000"/>
                <w:sz w:val="18"/>
              </w:rPr>
              <w:t>GPT-4o</w:t>
            </w:r>
          </w:p>
        </w:tc>
        <w:tc>
          <w:tcPr>
            <w:tcW w:type="dxa" w:w="1685"/>
            <w:vAlign w:val="center"/>
            <w:shd w:fill="E5EAF0"/>
          </w:tcPr>
          <w:p>
            <w:pPr>
              <w:pStyle w:val="TableText"/>
              <w:keepNext/>
              <w:jc w:val="center"/>
            </w:pPr>
            <w:r>
              <w:rPr>
                <w:b/>
                <w:color w:val="000000"/>
                <w:sz w:val="18"/>
              </w:rPr>
              <w:t>Sol</w:t>
            </w:r>
          </w:p>
        </w:tc>
        <w:tc>
          <w:tcPr>
            <w:tcW w:type="dxa" w:w="2592"/>
            <w:vAlign w:val="center"/>
            <w:shd w:fill="E5EAF0"/>
          </w:tcPr>
          <w:p>
            <w:pPr>
              <w:pStyle w:val="TableText"/>
              <w:keepNext/>
              <w:jc w:val="center"/>
            </w:pPr>
            <w:r>
              <w:rPr>
                <w:b/>
                <w:color w:val="000000"/>
                <w:sz w:val="18"/>
              </w:rPr>
              <w:t>Paper reference</w:t>
            </w:r>
          </w:p>
        </w:tc>
      </w:tr>
      <w:tr>
        <w:trPr>
          <w:cantSplit/>
        </w:trPr>
        <w:tc>
          <w:tcPr>
            <w:tcW w:type="dxa" w:w="4320"/>
            <w:vAlign w:val="center"/>
            <w:shd w:fill="FFFFFF"/>
          </w:tcPr>
          <w:p>
            <w:pPr>
              <w:pStyle w:val="TableText"/>
              <w:keepNext/>
              <w:jc w:val="left"/>
            </w:pPr>
            <w:r>
              <w:rPr>
                <w:color w:val="000000"/>
                <w:sz w:val="18"/>
              </w:rPr>
              <w:t>ASA24: code output / all 150 rows</w:t>
            </w:r>
          </w:p>
        </w:tc>
        <w:tc>
          <w:tcPr>
            <w:tcW w:type="dxa" w:w="1685"/>
            <w:vAlign w:val="center"/>
            <w:shd w:fill="FFFFFF"/>
          </w:tcPr>
          <w:p>
            <w:pPr>
              <w:pStyle w:val="TableText"/>
              <w:keepNext/>
              <w:jc w:val="center"/>
            </w:pPr>
            <w:r>
              <w:rPr>
                <w:color w:val="000000"/>
                <w:sz w:val="18"/>
              </w:rPr>
              <w:t>83.3%</w:t>
            </w:r>
          </w:p>
        </w:tc>
        <w:tc>
          <w:tcPr>
            <w:tcW w:type="dxa" w:w="1685"/>
            <w:vAlign w:val="center"/>
            <w:shd w:fill="FFFFFF"/>
          </w:tcPr>
          <w:p>
            <w:pPr>
              <w:pStyle w:val="TableText"/>
              <w:keepNext/>
              <w:jc w:val="center"/>
            </w:pPr>
            <w:r>
              <w:rPr>
                <w:color w:val="000000"/>
                <w:sz w:val="18"/>
              </w:rPr>
              <w:t>100.0%</w:t>
            </w:r>
          </w:p>
        </w:tc>
        <w:tc>
          <w:tcPr>
            <w:tcW w:type="dxa" w:w="2592"/>
            <w:vAlign w:val="center"/>
            <w:shd w:fill="FFFFFF"/>
          </w:tcPr>
          <w:p>
            <w:pPr>
              <w:pStyle w:val="TableText"/>
              <w:keepNext/>
              <w:jc w:val="center"/>
            </w:pPr>
            <w:r>
              <w:rPr>
                <w:color w:val="000000"/>
                <w:sz w:val="18"/>
              </w:rPr>
              <w:t>84–93% across sizes</w:t>
            </w:r>
          </w:p>
        </w:tc>
      </w:tr>
      <w:tr>
        <w:trPr>
          <w:cantSplit/>
        </w:trPr>
        <w:tc>
          <w:tcPr>
            <w:tcW w:type="dxa" w:w="4320"/>
            <w:vAlign w:val="center"/>
            <w:shd w:fill="F6F7F9"/>
          </w:tcPr>
          <w:p>
            <w:pPr>
              <w:pStyle w:val="TableText"/>
              <w:keepNext/>
              <w:jc w:val="left"/>
            </w:pPr>
            <w:r>
              <w:rPr>
                <w:color w:val="000000"/>
                <w:sz w:val="18"/>
              </w:rPr>
              <w:t>ASA24: valid portion option / Exact rows</w:t>
            </w:r>
          </w:p>
        </w:tc>
        <w:tc>
          <w:tcPr>
            <w:tcW w:type="dxa" w:w="1685"/>
            <w:vAlign w:val="center"/>
            <w:shd w:fill="F6F7F9"/>
          </w:tcPr>
          <w:p>
            <w:pPr>
              <w:pStyle w:val="TableText"/>
              <w:keepNext/>
              <w:jc w:val="center"/>
            </w:pPr>
            <w:r>
              <w:rPr>
                <w:color w:val="000000"/>
                <w:sz w:val="18"/>
              </w:rPr>
              <w:t>100% (21/21)</w:t>
            </w:r>
          </w:p>
        </w:tc>
        <w:tc>
          <w:tcPr>
            <w:tcW w:type="dxa" w:w="1685"/>
            <w:vAlign w:val="center"/>
            <w:shd w:fill="F6F7F9"/>
          </w:tcPr>
          <w:p>
            <w:pPr>
              <w:pStyle w:val="TableText"/>
              <w:keepNext/>
              <w:jc w:val="center"/>
            </w:pPr>
            <w:r>
              <w:rPr>
                <w:color w:val="000000"/>
                <w:sz w:val="18"/>
              </w:rPr>
              <w:t>100% (11/11)</w:t>
            </w:r>
          </w:p>
        </w:tc>
        <w:tc>
          <w:tcPr>
            <w:tcW w:type="dxa" w:w="2592"/>
            <w:vAlign w:val="center"/>
            <w:shd w:fill="F6F7F9"/>
          </w:tcPr>
          <w:p>
            <w:pPr>
              <w:pStyle w:val="TableText"/>
              <w:keepNext/>
              <w:jc w:val="center"/>
            </w:pPr>
            <w:r>
              <w:rPr>
                <w:color w:val="000000"/>
                <w:sz w:val="18"/>
              </w:rPr>
              <w:t>—</w:t>
            </w:r>
          </w:p>
        </w:tc>
      </w:tr>
      <w:tr>
        <w:trPr>
          <w:cantSplit/>
        </w:trPr>
        <w:tc>
          <w:tcPr>
            <w:tcW w:type="dxa" w:w="4320"/>
            <w:vAlign w:val="center"/>
            <w:shd w:fill="FFFFFF"/>
          </w:tcPr>
          <w:p>
            <w:pPr>
              <w:pStyle w:val="TableText"/>
              <w:keepNext w:val="0"/>
              <w:jc w:val="left"/>
            </w:pPr>
            <w:r>
              <w:rPr>
                <w:color w:val="000000"/>
                <w:sz w:val="18"/>
              </w:rPr>
              <w:t>ASA24: readable amount / Exact rows</w:t>
            </w:r>
          </w:p>
        </w:tc>
        <w:tc>
          <w:tcPr>
            <w:tcW w:type="dxa" w:w="1685"/>
            <w:vAlign w:val="center"/>
            <w:shd w:fill="FFFFFF"/>
          </w:tcPr>
          <w:p>
            <w:pPr>
              <w:pStyle w:val="TableText"/>
              <w:keepNext w:val="0"/>
              <w:jc w:val="center"/>
            </w:pPr>
            <w:r>
              <w:rPr>
                <w:color w:val="000000"/>
                <w:sz w:val="18"/>
              </w:rPr>
              <w:t>95.2% (20/21)</w:t>
            </w:r>
          </w:p>
        </w:tc>
        <w:tc>
          <w:tcPr>
            <w:tcW w:type="dxa" w:w="1685"/>
            <w:vAlign w:val="center"/>
            <w:shd w:fill="FFFFFF"/>
          </w:tcPr>
          <w:p>
            <w:pPr>
              <w:pStyle w:val="TableText"/>
              <w:keepNext w:val="0"/>
              <w:jc w:val="center"/>
            </w:pPr>
            <w:r>
              <w:rPr>
                <w:color w:val="000000"/>
                <w:sz w:val="18"/>
              </w:rPr>
              <w:t>100% (11/11)</w:t>
            </w:r>
          </w:p>
        </w:tc>
        <w:tc>
          <w:tcPr>
            <w:tcW w:type="dxa" w:w="2592"/>
            <w:vAlign w:val="center"/>
            <w:shd w:fill="FFFFFF"/>
          </w:tcPr>
          <w:p>
            <w:pPr>
              <w:pStyle w:val="TableText"/>
              <w:keepNext w:val="0"/>
              <w:jc w:val="center"/>
            </w:pPr>
            <w:r>
              <w:rPr>
                <w:color w:val="000000"/>
                <w:sz w:val="18"/>
              </w:rPr>
              <w:t>—</w:t>
            </w:r>
          </w:p>
        </w:tc>
      </w:tr>
      <w:tr>
        <w:trPr>
          <w:cantSplit/>
        </w:trPr>
        <w:tc>
          <w:tcPr>
            <w:tcW w:type="dxa" w:w="4320"/>
            <w:vAlign w:val="center"/>
            <w:shd w:fill="F6F7F9"/>
          </w:tcPr>
          <w:p>
            <w:pPr>
              <w:pStyle w:val="TableText"/>
              <w:keepNext w:val="0"/>
              <w:jc w:val="left"/>
            </w:pPr>
            <w:r>
              <w:rPr>
                <w:color w:val="000000"/>
                <w:sz w:val="18"/>
              </w:rPr>
              <w:t>ASA24: portion classification accuracy</w:t>
            </w:r>
          </w:p>
        </w:tc>
        <w:tc>
          <w:tcPr>
            <w:tcW w:type="dxa" w:w="1685"/>
            <w:vAlign w:val="center"/>
            <w:shd w:fill="F6F7F9"/>
          </w:tcPr>
          <w:p>
            <w:pPr>
              <w:pStyle w:val="TableText"/>
              <w:keepNext w:val="0"/>
              <w:jc w:val="center"/>
            </w:pPr>
            <w:r>
              <w:rPr>
                <w:color w:val="000000"/>
                <w:sz w:val="18"/>
              </w:rPr>
              <w:t>42.9% (9/21)</w:t>
            </w:r>
          </w:p>
        </w:tc>
        <w:tc>
          <w:tcPr>
            <w:tcW w:type="dxa" w:w="1685"/>
            <w:vAlign w:val="center"/>
            <w:shd w:fill="F6F7F9"/>
          </w:tcPr>
          <w:p>
            <w:pPr>
              <w:pStyle w:val="TableText"/>
              <w:keepNext w:val="0"/>
              <w:jc w:val="center"/>
            </w:pPr>
            <w:r>
              <w:rPr>
                <w:color w:val="000000"/>
                <w:sz w:val="18"/>
              </w:rPr>
              <w:t>27.3% (3/11)</w:t>
            </w:r>
          </w:p>
        </w:tc>
        <w:tc>
          <w:tcPr>
            <w:tcW w:type="dxa" w:w="2592"/>
            <w:vAlign w:val="center"/>
            <w:shd w:fill="F6F7F9"/>
          </w:tcPr>
          <w:p>
            <w:pPr>
              <w:pStyle w:val="TableText"/>
              <w:keepNext w:val="0"/>
              <w:jc w:val="center"/>
            </w:pPr>
            <w:r>
              <w:rPr>
                <w:color w:val="000000"/>
                <w:sz w:val="18"/>
              </w:rPr>
              <w:t>74.3%</w:t>
            </w:r>
          </w:p>
        </w:tc>
      </w:tr>
      <w:tr>
        <w:trPr>
          <w:cantSplit/>
        </w:trPr>
        <w:tc>
          <w:tcPr>
            <w:tcW w:type="dxa" w:w="4320"/>
            <w:vAlign w:val="center"/>
            <w:shd w:fill="FFFFFF"/>
          </w:tcPr>
          <w:p>
            <w:pPr>
              <w:pStyle w:val="TableText"/>
              <w:keepNext w:val="0"/>
              <w:jc w:val="left"/>
            </w:pPr>
            <w:r>
              <w:rPr>
                <w:color w:val="000000"/>
                <w:sz w:val="18"/>
              </w:rPr>
              <w:t>ASA24: mean absolute unit error</w:t>
            </w:r>
          </w:p>
        </w:tc>
        <w:tc>
          <w:tcPr>
            <w:tcW w:type="dxa" w:w="1685"/>
            <w:vAlign w:val="center"/>
            <w:shd w:fill="FFFFFF"/>
          </w:tcPr>
          <w:p>
            <w:pPr>
              <w:pStyle w:val="TableText"/>
              <w:keepNext w:val="0"/>
              <w:jc w:val="center"/>
            </w:pPr>
            <w:r>
              <w:rPr>
                <w:color w:val="000000"/>
                <w:sz w:val="18"/>
              </w:rPr>
              <w:t>0.369 (n=20)</w:t>
            </w:r>
          </w:p>
        </w:tc>
        <w:tc>
          <w:tcPr>
            <w:tcW w:type="dxa" w:w="1685"/>
            <w:vAlign w:val="center"/>
            <w:shd w:fill="FFFFFF"/>
          </w:tcPr>
          <w:p>
            <w:pPr>
              <w:pStyle w:val="TableText"/>
              <w:keepNext w:val="0"/>
              <w:jc w:val="center"/>
            </w:pPr>
            <w:r>
              <w:rPr>
                <w:color w:val="000000"/>
                <w:sz w:val="18"/>
              </w:rPr>
              <w:t>0.398 (n=11)</w:t>
            </w:r>
          </w:p>
        </w:tc>
        <w:tc>
          <w:tcPr>
            <w:tcW w:type="dxa" w:w="2592"/>
            <w:vAlign w:val="center"/>
            <w:shd w:fill="FFFFFF"/>
          </w:tcPr>
          <w:p>
            <w:pPr>
              <w:pStyle w:val="TableText"/>
              <w:keepNext w:val="0"/>
              <w:jc w:val="center"/>
            </w:pPr>
            <w:r>
              <w:rPr>
                <w:color w:val="000000"/>
                <w:sz w:val="18"/>
              </w:rPr>
              <w:t>0.55 units</w:t>
            </w:r>
          </w:p>
        </w:tc>
      </w:tr>
      <w:tr>
        <w:trPr>
          <w:cantSplit/>
        </w:trPr>
        <w:tc>
          <w:tcPr>
            <w:tcW w:type="dxa" w:w="4320"/>
            <w:vAlign w:val="center"/>
            <w:shd w:fill="F6F7F9"/>
          </w:tcPr>
          <w:p>
            <w:pPr>
              <w:pStyle w:val="TableText"/>
              <w:keepNext/>
              <w:jc w:val="left"/>
            </w:pPr>
            <w:r>
              <w:rPr>
                <w:color w:val="000000"/>
                <w:sz w:val="18"/>
              </w:rPr>
              <w:t>Nutrition5k: code output / all 150 dishes</w:t>
            </w:r>
          </w:p>
        </w:tc>
        <w:tc>
          <w:tcPr>
            <w:tcW w:type="dxa" w:w="1685"/>
            <w:vAlign w:val="center"/>
            <w:shd w:fill="F6F7F9"/>
          </w:tcPr>
          <w:p>
            <w:pPr>
              <w:pStyle w:val="TableText"/>
              <w:keepNext/>
              <w:jc w:val="center"/>
            </w:pPr>
            <w:r>
              <w:rPr>
                <w:color w:val="000000"/>
                <w:sz w:val="18"/>
              </w:rPr>
              <w:t>85.3%</w:t>
            </w:r>
          </w:p>
        </w:tc>
        <w:tc>
          <w:tcPr>
            <w:tcW w:type="dxa" w:w="1685"/>
            <w:vAlign w:val="center"/>
            <w:shd w:fill="F6F7F9"/>
          </w:tcPr>
          <w:p>
            <w:pPr>
              <w:pStyle w:val="TableText"/>
              <w:keepNext/>
              <w:jc w:val="center"/>
            </w:pPr>
            <w:r>
              <w:rPr>
                <w:color w:val="000000"/>
                <w:sz w:val="18"/>
              </w:rPr>
              <w:t>100.0%</w:t>
            </w:r>
          </w:p>
        </w:tc>
        <w:tc>
          <w:tcPr>
            <w:tcW w:type="dxa" w:w="2592"/>
            <w:vAlign w:val="center"/>
            <w:shd w:fill="F6F7F9"/>
          </w:tcPr>
          <w:p>
            <w:pPr>
              <w:pStyle w:val="TableText"/>
              <w:keepNext/>
              <w:jc w:val="center"/>
            </w:pPr>
            <w:r>
              <w:rPr>
                <w:color w:val="000000"/>
                <w:sz w:val="18"/>
              </w:rPr>
              <w:t>98.9%</w:t>
            </w:r>
          </w:p>
        </w:tc>
      </w:tr>
      <w:tr>
        <w:trPr>
          <w:cantSplit/>
        </w:trPr>
        <w:tc>
          <w:tcPr>
            <w:tcW w:type="dxa" w:w="4320"/>
            <w:vAlign w:val="center"/>
            <w:shd w:fill="FFFFFF"/>
          </w:tcPr>
          <w:p>
            <w:pPr>
              <w:pStyle w:val="TableText"/>
              <w:keepNext/>
              <w:jc w:val="left"/>
            </w:pPr>
            <w:r>
              <w:rPr>
                <w:color w:val="000000"/>
                <w:sz w:val="18"/>
              </w:rPr>
              <w:t>Nutrition5k: all items have grams / dishes with codes</w:t>
            </w:r>
          </w:p>
        </w:tc>
        <w:tc>
          <w:tcPr>
            <w:tcW w:type="dxa" w:w="1685"/>
            <w:vAlign w:val="center"/>
            <w:shd w:fill="FFFFFF"/>
          </w:tcPr>
          <w:p>
            <w:pPr>
              <w:pStyle w:val="TableText"/>
              <w:keepNext/>
              <w:jc w:val="center"/>
            </w:pPr>
            <w:r>
              <w:rPr>
                <w:color w:val="000000"/>
                <w:sz w:val="18"/>
              </w:rPr>
              <w:t>73.4%</w:t>
            </w:r>
          </w:p>
        </w:tc>
        <w:tc>
          <w:tcPr>
            <w:tcW w:type="dxa" w:w="1685"/>
            <w:vAlign w:val="center"/>
            <w:shd w:fill="FFFFFF"/>
          </w:tcPr>
          <w:p>
            <w:pPr>
              <w:pStyle w:val="TableText"/>
              <w:keepNext/>
              <w:jc w:val="center"/>
            </w:pPr>
            <w:r>
              <w:rPr>
                <w:color w:val="000000"/>
                <w:sz w:val="18"/>
              </w:rPr>
              <w:t>78.7%</w:t>
            </w:r>
          </w:p>
        </w:tc>
        <w:tc>
          <w:tcPr>
            <w:tcW w:type="dxa" w:w="2592"/>
            <w:vAlign w:val="center"/>
            <w:shd w:fill="FFFFFF"/>
          </w:tcPr>
          <w:p>
            <w:pPr>
              <w:pStyle w:val="TableText"/>
              <w:keepNext/>
              <w:jc w:val="center"/>
            </w:pPr>
            <w:r>
              <w:rPr>
                <w:color w:val="000000"/>
                <w:sz w:val="18"/>
              </w:rPr>
              <w:t>84.2%</w:t>
            </w:r>
          </w:p>
        </w:tc>
      </w:tr>
      <w:tr>
        <w:trPr>
          <w:cantSplit/>
        </w:trPr>
        <w:tc>
          <w:tcPr>
            <w:tcW w:type="dxa" w:w="4320"/>
            <w:vAlign w:val="center"/>
            <w:shd w:fill="F6F7F9"/>
          </w:tcPr>
          <w:p>
            <w:pPr>
              <w:pStyle w:val="TableText"/>
              <w:keepNext w:val="0"/>
              <w:jc w:val="left"/>
            </w:pPr>
            <w:r>
              <w:rPr>
                <w:color w:val="000000"/>
                <w:sz w:val="18"/>
              </w:rPr>
              <w:t>Nutrition5k: items with grams / identified items</w:t>
            </w:r>
          </w:p>
        </w:tc>
        <w:tc>
          <w:tcPr>
            <w:tcW w:type="dxa" w:w="1685"/>
            <w:vAlign w:val="center"/>
            <w:shd w:fill="F6F7F9"/>
          </w:tcPr>
          <w:p>
            <w:pPr>
              <w:pStyle w:val="TableText"/>
              <w:keepNext w:val="0"/>
              <w:jc w:val="center"/>
            </w:pPr>
            <w:r>
              <w:rPr>
                <w:color w:val="000000"/>
                <w:sz w:val="18"/>
              </w:rPr>
              <w:t>83.3%</w:t>
            </w:r>
          </w:p>
        </w:tc>
        <w:tc>
          <w:tcPr>
            <w:tcW w:type="dxa" w:w="1685"/>
            <w:vAlign w:val="center"/>
            <w:shd w:fill="F6F7F9"/>
          </w:tcPr>
          <w:p>
            <w:pPr>
              <w:pStyle w:val="TableText"/>
              <w:keepNext w:val="0"/>
              <w:jc w:val="center"/>
            </w:pPr>
            <w:r>
              <w:rPr>
                <w:color w:val="000000"/>
                <w:sz w:val="18"/>
              </w:rPr>
              <w:t>84.5%</w:t>
            </w:r>
          </w:p>
        </w:tc>
        <w:tc>
          <w:tcPr>
            <w:tcW w:type="dxa" w:w="2592"/>
            <w:vAlign w:val="center"/>
            <w:shd w:fill="F6F7F9"/>
          </w:tcPr>
          <w:p>
            <w:pPr>
              <w:pStyle w:val="TableText"/>
              <w:keepNext w:val="0"/>
              <w:jc w:val="center"/>
            </w:pPr>
            <w:r>
              <w:rPr>
                <w:color w:val="000000"/>
                <w:sz w:val="18"/>
              </w:rPr>
              <w:t>80.5%</w:t>
            </w:r>
          </w:p>
        </w:tc>
      </w:tr>
    </w:tbl>
    <w:p>
      <w:pPr>
        <w:keepNext w:val="0"/>
        <w:spacing w:after="40" w:before="0" w:line="40" w:lineRule="exact"/>
      </w:pPr>
      <w:r>
        <w:rPr>
          <w:sz w:val="4"/>
        </w:rPr>
      </w:r>
    </w:p>
    <w:p>
      <w:r>
        <w:rPr>
          <w:color w:val="000000"/>
        </w:rPr>
        <w:t>ASA24 matching levels are shown below. Close and Far are cumulative. The paper's GPT-4 Turbo Exact rates range from 22.1% to 29.1% across portion sizes; those size-specific rates are not a pooled estimate directly equivalent to the totals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181"/>
        <w:gridCol w:w="994"/>
        <w:gridCol w:w="1613"/>
        <w:gridCol w:w="1843"/>
        <w:gridCol w:w="1483"/>
        <w:gridCol w:w="1483"/>
        <w:gridCol w:w="1685"/>
      </w:tblGrid>
      <w:tr>
        <w:trPr>
          <w:cantSplit/>
          <w:tblHeader/>
        </w:trPr>
        <w:tc>
          <w:tcPr>
            <w:tcW w:type="dxa" w:w="1181"/>
            <w:vAlign w:val="center"/>
            <w:shd w:fill="E5EAF0"/>
          </w:tcPr>
          <w:p>
            <w:pPr>
              <w:pStyle w:val="TableText"/>
              <w:keepNext/>
              <w:jc w:val="left"/>
            </w:pPr>
            <w:r>
              <w:rPr>
                <w:b/>
                <w:color w:val="000000"/>
                <w:sz w:val="18"/>
              </w:rPr>
              <w:t>Model</w:t>
            </w:r>
          </w:p>
        </w:tc>
        <w:tc>
          <w:tcPr>
            <w:tcW w:type="dxa" w:w="994"/>
            <w:vAlign w:val="center"/>
            <w:shd w:fill="E5EAF0"/>
          </w:tcPr>
          <w:p>
            <w:pPr>
              <w:pStyle w:val="TableText"/>
              <w:keepNext/>
              <w:jc w:val="left"/>
            </w:pPr>
            <w:r>
              <w:rPr>
                <w:b/>
                <w:color w:val="000000"/>
                <w:sz w:val="18"/>
              </w:rPr>
              <w:t>Reading</w:t>
            </w:r>
          </w:p>
        </w:tc>
        <w:tc>
          <w:tcPr>
            <w:tcW w:type="dxa" w:w="1613"/>
            <w:vAlign w:val="center"/>
            <w:shd w:fill="E5EAF0"/>
          </w:tcPr>
          <w:p>
            <w:pPr>
              <w:pStyle w:val="TableText"/>
              <w:keepNext/>
              <w:jc w:val="center"/>
            </w:pPr>
            <w:r>
              <w:rPr>
                <w:b/>
                <w:color w:val="000000"/>
                <w:sz w:val="18"/>
              </w:rPr>
              <w:t>Rows with codes</w:t>
            </w:r>
          </w:p>
        </w:tc>
        <w:tc>
          <w:tcPr>
            <w:tcW w:type="dxa" w:w="1843"/>
            <w:vAlign w:val="center"/>
            <w:shd w:fill="E5EAF0"/>
          </w:tcPr>
          <w:p>
            <w:pPr>
              <w:pStyle w:val="TableText"/>
              <w:keepNext/>
              <w:jc w:val="center"/>
            </w:pPr>
            <w:r>
              <w:rPr>
                <w:b/>
                <w:color w:val="000000"/>
                <w:sz w:val="18"/>
              </w:rPr>
              <w:t>Exact count (%)</w:t>
            </w:r>
          </w:p>
        </w:tc>
        <w:tc>
          <w:tcPr>
            <w:tcW w:type="dxa" w:w="1483"/>
            <w:vAlign w:val="center"/>
            <w:shd w:fill="E5EAF0"/>
          </w:tcPr>
          <w:p>
            <w:pPr>
              <w:pStyle w:val="TableText"/>
              <w:keepNext/>
              <w:jc w:val="center"/>
            </w:pPr>
            <w:r>
              <w:rPr>
                <w:b/>
                <w:color w:val="000000"/>
                <w:sz w:val="18"/>
              </w:rPr>
              <w:t>Close</w:t>
            </w:r>
          </w:p>
        </w:tc>
        <w:tc>
          <w:tcPr>
            <w:tcW w:type="dxa" w:w="1483"/>
            <w:vAlign w:val="center"/>
            <w:shd w:fill="E5EAF0"/>
          </w:tcPr>
          <w:p>
            <w:pPr>
              <w:pStyle w:val="TableText"/>
              <w:keepNext/>
              <w:jc w:val="center"/>
            </w:pPr>
            <w:r>
              <w:rPr>
                <w:b/>
                <w:color w:val="000000"/>
                <w:sz w:val="18"/>
              </w:rPr>
              <w:t>Far</w:t>
            </w:r>
          </w:p>
        </w:tc>
        <w:tc>
          <w:tcPr>
            <w:tcW w:type="dxa" w:w="1685"/>
            <w:vAlign w:val="center"/>
            <w:shd w:fill="E5EAF0"/>
          </w:tcPr>
          <w:p>
            <w:pPr>
              <w:pStyle w:val="TableText"/>
              <w:keepNext/>
              <w:jc w:val="center"/>
            </w:pPr>
            <w:r>
              <w:rPr>
                <w:b/>
                <w:color w:val="000000"/>
                <w:sz w:val="18"/>
              </w:rPr>
              <w:t>Mismatch</w:t>
            </w:r>
          </w:p>
        </w:tc>
      </w:tr>
      <w:tr>
        <w:trPr>
          <w:cantSplit/>
        </w:trPr>
        <w:tc>
          <w:tcPr>
            <w:tcW w:type="dxa" w:w="1181"/>
            <w:vAlign w:val="center"/>
            <w:shd w:fill="FFFFFF"/>
          </w:tcPr>
          <w:p>
            <w:pPr>
              <w:pStyle w:val="TableText"/>
              <w:keepNext/>
              <w:jc w:val="left"/>
            </w:pPr>
            <w:r>
              <w:rPr>
                <w:color w:val="000000"/>
                <w:sz w:val="18"/>
              </w:rPr>
              <w:t>GPT-4o</w:t>
            </w:r>
          </w:p>
        </w:tc>
        <w:tc>
          <w:tcPr>
            <w:tcW w:type="dxa" w:w="994"/>
            <w:vAlign w:val="center"/>
            <w:shd w:fill="FFFFFF"/>
          </w:tcPr>
          <w:p>
            <w:pPr>
              <w:pStyle w:val="TableText"/>
              <w:keepNext/>
              <w:jc w:val="left"/>
            </w:pPr>
            <w:r>
              <w:rPr>
                <w:color w:val="000000"/>
                <w:sz w:val="18"/>
              </w:rPr>
              <w:t>any</w:t>
            </w:r>
          </w:p>
        </w:tc>
        <w:tc>
          <w:tcPr>
            <w:tcW w:type="dxa" w:w="1613"/>
            <w:vAlign w:val="center"/>
            <w:shd w:fill="FFFFFF"/>
          </w:tcPr>
          <w:p>
            <w:pPr>
              <w:pStyle w:val="TableText"/>
              <w:keepNext/>
              <w:jc w:val="center"/>
            </w:pPr>
            <w:r>
              <w:rPr>
                <w:color w:val="000000"/>
                <w:sz w:val="18"/>
              </w:rPr>
              <w:t>125</w:t>
            </w:r>
          </w:p>
        </w:tc>
        <w:tc>
          <w:tcPr>
            <w:tcW w:type="dxa" w:w="1843"/>
            <w:vAlign w:val="center"/>
            <w:shd w:fill="FFFFFF"/>
          </w:tcPr>
          <w:p>
            <w:pPr>
              <w:pStyle w:val="TableText"/>
              <w:keepNext/>
              <w:jc w:val="center"/>
            </w:pPr>
            <w:r>
              <w:rPr>
                <w:color w:val="000000"/>
                <w:sz w:val="18"/>
              </w:rPr>
              <w:t>21 (16.8%)</w:t>
            </w:r>
          </w:p>
        </w:tc>
        <w:tc>
          <w:tcPr>
            <w:tcW w:type="dxa" w:w="1483"/>
            <w:vAlign w:val="center"/>
            <w:shd w:fill="FFFFFF"/>
          </w:tcPr>
          <w:p>
            <w:pPr>
              <w:pStyle w:val="TableText"/>
              <w:keepNext/>
              <w:jc w:val="center"/>
            </w:pPr>
            <w:r>
              <w:rPr>
                <w:color w:val="000000"/>
                <w:sz w:val="18"/>
              </w:rPr>
              <w:t>49.6%</w:t>
            </w:r>
          </w:p>
        </w:tc>
        <w:tc>
          <w:tcPr>
            <w:tcW w:type="dxa" w:w="1483"/>
            <w:vAlign w:val="center"/>
            <w:shd w:fill="FFFFFF"/>
          </w:tcPr>
          <w:p>
            <w:pPr>
              <w:pStyle w:val="TableText"/>
              <w:keepNext/>
              <w:jc w:val="center"/>
            </w:pPr>
            <w:r>
              <w:rPr>
                <w:color w:val="000000"/>
                <w:sz w:val="18"/>
              </w:rPr>
              <w:t>61.6%</w:t>
            </w:r>
          </w:p>
        </w:tc>
        <w:tc>
          <w:tcPr>
            <w:tcW w:type="dxa" w:w="1685"/>
            <w:vAlign w:val="center"/>
            <w:shd w:fill="FFFFFF"/>
          </w:tcPr>
          <w:p>
            <w:pPr>
              <w:pStyle w:val="TableText"/>
              <w:keepNext/>
              <w:jc w:val="center"/>
            </w:pPr>
            <w:r>
              <w:rPr>
                <w:color w:val="000000"/>
                <w:sz w:val="18"/>
              </w:rPr>
              <w:t>38.4%</w:t>
            </w:r>
          </w:p>
        </w:tc>
      </w:tr>
      <w:tr>
        <w:trPr>
          <w:cantSplit/>
        </w:trPr>
        <w:tc>
          <w:tcPr>
            <w:tcW w:type="dxa" w:w="1181"/>
            <w:vAlign w:val="center"/>
            <w:shd w:fill="F6F7F9"/>
          </w:tcPr>
          <w:p>
            <w:pPr>
              <w:pStyle w:val="TableText"/>
              <w:keepNext/>
              <w:jc w:val="left"/>
            </w:pPr>
            <w:r>
              <w:rPr>
                <w:color w:val="000000"/>
                <w:sz w:val="18"/>
              </w:rPr>
              <w:t>GPT-4o</w:t>
            </w:r>
          </w:p>
        </w:tc>
        <w:tc>
          <w:tcPr>
            <w:tcW w:type="dxa" w:w="994"/>
            <w:vAlign w:val="center"/>
            <w:shd w:fill="F6F7F9"/>
          </w:tcPr>
          <w:p>
            <w:pPr>
              <w:pStyle w:val="TableText"/>
              <w:keepNext/>
              <w:jc w:val="left"/>
            </w:pPr>
            <w:r>
              <w:rPr>
                <w:color w:val="000000"/>
                <w:sz w:val="18"/>
              </w:rPr>
              <w:t>first</w:t>
            </w:r>
          </w:p>
        </w:tc>
        <w:tc>
          <w:tcPr>
            <w:tcW w:type="dxa" w:w="1613"/>
            <w:vAlign w:val="center"/>
            <w:shd w:fill="F6F7F9"/>
          </w:tcPr>
          <w:p>
            <w:pPr>
              <w:pStyle w:val="TableText"/>
              <w:keepNext/>
              <w:jc w:val="center"/>
            </w:pPr>
            <w:r>
              <w:rPr>
                <w:color w:val="000000"/>
                <w:sz w:val="18"/>
              </w:rPr>
              <w:t>125</w:t>
            </w:r>
          </w:p>
        </w:tc>
        <w:tc>
          <w:tcPr>
            <w:tcW w:type="dxa" w:w="1843"/>
            <w:vAlign w:val="center"/>
            <w:shd w:fill="F6F7F9"/>
          </w:tcPr>
          <w:p>
            <w:pPr>
              <w:pStyle w:val="TableText"/>
              <w:keepNext/>
              <w:jc w:val="center"/>
            </w:pPr>
            <w:r>
              <w:rPr>
                <w:color w:val="000000"/>
                <w:sz w:val="18"/>
              </w:rPr>
              <w:t>18 (14.4%)</w:t>
            </w:r>
          </w:p>
        </w:tc>
        <w:tc>
          <w:tcPr>
            <w:tcW w:type="dxa" w:w="1483"/>
            <w:vAlign w:val="center"/>
            <w:shd w:fill="F6F7F9"/>
          </w:tcPr>
          <w:p>
            <w:pPr>
              <w:pStyle w:val="TableText"/>
              <w:keepNext/>
              <w:jc w:val="center"/>
            </w:pPr>
            <w:r>
              <w:rPr>
                <w:color w:val="000000"/>
                <w:sz w:val="18"/>
              </w:rPr>
              <w:t>49.6%</w:t>
            </w:r>
          </w:p>
        </w:tc>
        <w:tc>
          <w:tcPr>
            <w:tcW w:type="dxa" w:w="1483"/>
            <w:vAlign w:val="center"/>
            <w:shd w:fill="F6F7F9"/>
          </w:tcPr>
          <w:p>
            <w:pPr>
              <w:pStyle w:val="TableText"/>
              <w:keepNext/>
              <w:jc w:val="center"/>
            </w:pPr>
            <w:r>
              <w:rPr>
                <w:color w:val="000000"/>
                <w:sz w:val="18"/>
              </w:rPr>
              <w:t>60.8%</w:t>
            </w:r>
          </w:p>
        </w:tc>
        <w:tc>
          <w:tcPr>
            <w:tcW w:type="dxa" w:w="1685"/>
            <w:vAlign w:val="center"/>
            <w:shd w:fill="F6F7F9"/>
          </w:tcPr>
          <w:p>
            <w:pPr>
              <w:pStyle w:val="TableText"/>
              <w:keepNext/>
              <w:jc w:val="center"/>
            </w:pPr>
            <w:r>
              <w:rPr>
                <w:color w:val="000000"/>
                <w:sz w:val="18"/>
              </w:rPr>
              <w:t>39.2%</w:t>
            </w:r>
          </w:p>
        </w:tc>
      </w:tr>
      <w:tr>
        <w:trPr>
          <w:cantSplit/>
        </w:trPr>
        <w:tc>
          <w:tcPr>
            <w:tcW w:type="dxa" w:w="1181"/>
            <w:vAlign w:val="center"/>
            <w:shd w:fill="FFFFFF"/>
          </w:tcPr>
          <w:p>
            <w:pPr>
              <w:pStyle w:val="TableText"/>
              <w:keepNext/>
              <w:jc w:val="left"/>
            </w:pPr>
            <w:r>
              <w:rPr>
                <w:color w:val="000000"/>
                <w:sz w:val="18"/>
              </w:rPr>
              <w:t>Sol</w:t>
            </w:r>
          </w:p>
        </w:tc>
        <w:tc>
          <w:tcPr>
            <w:tcW w:type="dxa" w:w="994"/>
            <w:vAlign w:val="center"/>
            <w:shd w:fill="FFFFFF"/>
          </w:tcPr>
          <w:p>
            <w:pPr>
              <w:pStyle w:val="TableText"/>
              <w:keepNext/>
              <w:jc w:val="left"/>
            </w:pPr>
            <w:r>
              <w:rPr>
                <w:color w:val="000000"/>
                <w:sz w:val="18"/>
              </w:rPr>
              <w:t>any</w:t>
            </w:r>
          </w:p>
        </w:tc>
        <w:tc>
          <w:tcPr>
            <w:tcW w:type="dxa" w:w="1613"/>
            <w:vAlign w:val="center"/>
            <w:shd w:fill="FFFFFF"/>
          </w:tcPr>
          <w:p>
            <w:pPr>
              <w:pStyle w:val="TableText"/>
              <w:keepNext/>
              <w:jc w:val="center"/>
            </w:pPr>
            <w:r>
              <w:rPr>
                <w:color w:val="000000"/>
                <w:sz w:val="18"/>
              </w:rPr>
              <w:t>150</w:t>
            </w:r>
          </w:p>
        </w:tc>
        <w:tc>
          <w:tcPr>
            <w:tcW w:type="dxa" w:w="1843"/>
            <w:vAlign w:val="center"/>
            <w:shd w:fill="FFFFFF"/>
          </w:tcPr>
          <w:p>
            <w:pPr>
              <w:pStyle w:val="TableText"/>
              <w:keepNext/>
              <w:jc w:val="center"/>
            </w:pPr>
            <w:r>
              <w:rPr>
                <w:color w:val="000000"/>
                <w:sz w:val="18"/>
              </w:rPr>
              <w:t>11 (7.3%)</w:t>
            </w:r>
          </w:p>
        </w:tc>
        <w:tc>
          <w:tcPr>
            <w:tcW w:type="dxa" w:w="1483"/>
            <w:vAlign w:val="center"/>
            <w:shd w:fill="FFFFFF"/>
          </w:tcPr>
          <w:p>
            <w:pPr>
              <w:pStyle w:val="TableText"/>
              <w:keepNext/>
              <w:jc w:val="center"/>
            </w:pPr>
            <w:r>
              <w:rPr>
                <w:color w:val="000000"/>
                <w:sz w:val="18"/>
              </w:rPr>
              <w:t>43.3%</w:t>
            </w:r>
          </w:p>
        </w:tc>
        <w:tc>
          <w:tcPr>
            <w:tcW w:type="dxa" w:w="1483"/>
            <w:vAlign w:val="center"/>
            <w:shd w:fill="FFFFFF"/>
          </w:tcPr>
          <w:p>
            <w:pPr>
              <w:pStyle w:val="TableText"/>
              <w:keepNext/>
              <w:jc w:val="center"/>
            </w:pPr>
            <w:r>
              <w:rPr>
                <w:color w:val="000000"/>
                <w:sz w:val="18"/>
              </w:rPr>
              <w:t>59.3%</w:t>
            </w:r>
          </w:p>
        </w:tc>
        <w:tc>
          <w:tcPr>
            <w:tcW w:type="dxa" w:w="1685"/>
            <w:vAlign w:val="center"/>
            <w:shd w:fill="FFFFFF"/>
          </w:tcPr>
          <w:p>
            <w:pPr>
              <w:pStyle w:val="TableText"/>
              <w:keepNext/>
              <w:jc w:val="center"/>
            </w:pPr>
            <w:r>
              <w:rPr>
                <w:color w:val="000000"/>
                <w:sz w:val="18"/>
              </w:rPr>
              <w:t>40.7%</w:t>
            </w:r>
          </w:p>
        </w:tc>
      </w:tr>
      <w:tr>
        <w:trPr>
          <w:cantSplit/>
        </w:trPr>
        <w:tc>
          <w:tcPr>
            <w:tcW w:type="dxa" w:w="1181"/>
            <w:vAlign w:val="center"/>
            <w:shd w:fill="F6F7F9"/>
          </w:tcPr>
          <w:p>
            <w:pPr>
              <w:pStyle w:val="TableText"/>
              <w:keepNext w:val="0"/>
              <w:jc w:val="left"/>
            </w:pPr>
            <w:r>
              <w:rPr>
                <w:color w:val="000000"/>
                <w:sz w:val="18"/>
              </w:rPr>
              <w:t>Sol</w:t>
            </w:r>
          </w:p>
        </w:tc>
        <w:tc>
          <w:tcPr>
            <w:tcW w:type="dxa" w:w="994"/>
            <w:vAlign w:val="center"/>
            <w:shd w:fill="F6F7F9"/>
          </w:tcPr>
          <w:p>
            <w:pPr>
              <w:pStyle w:val="TableText"/>
              <w:keepNext w:val="0"/>
              <w:jc w:val="left"/>
            </w:pPr>
            <w:r>
              <w:rPr>
                <w:color w:val="000000"/>
                <w:sz w:val="18"/>
              </w:rPr>
              <w:t>first</w:t>
            </w:r>
          </w:p>
        </w:tc>
        <w:tc>
          <w:tcPr>
            <w:tcW w:type="dxa" w:w="1613"/>
            <w:vAlign w:val="center"/>
            <w:shd w:fill="F6F7F9"/>
          </w:tcPr>
          <w:p>
            <w:pPr>
              <w:pStyle w:val="TableText"/>
              <w:keepNext w:val="0"/>
              <w:jc w:val="center"/>
            </w:pPr>
            <w:r>
              <w:rPr>
                <w:color w:val="000000"/>
                <w:sz w:val="18"/>
              </w:rPr>
              <w:t>150</w:t>
            </w:r>
          </w:p>
        </w:tc>
        <w:tc>
          <w:tcPr>
            <w:tcW w:type="dxa" w:w="1843"/>
            <w:vAlign w:val="center"/>
            <w:shd w:fill="F6F7F9"/>
          </w:tcPr>
          <w:p>
            <w:pPr>
              <w:pStyle w:val="TableText"/>
              <w:keepNext w:val="0"/>
              <w:jc w:val="center"/>
            </w:pPr>
            <w:r>
              <w:rPr>
                <w:color w:val="000000"/>
                <w:sz w:val="18"/>
              </w:rPr>
              <w:t>11 (7.3%)</w:t>
            </w:r>
          </w:p>
        </w:tc>
        <w:tc>
          <w:tcPr>
            <w:tcW w:type="dxa" w:w="1483"/>
            <w:vAlign w:val="center"/>
            <w:shd w:fill="F6F7F9"/>
          </w:tcPr>
          <w:p>
            <w:pPr>
              <w:pStyle w:val="TableText"/>
              <w:keepNext w:val="0"/>
              <w:jc w:val="center"/>
            </w:pPr>
            <w:r>
              <w:rPr>
                <w:color w:val="000000"/>
                <w:sz w:val="18"/>
              </w:rPr>
              <w:t>43.3%</w:t>
            </w:r>
          </w:p>
        </w:tc>
        <w:tc>
          <w:tcPr>
            <w:tcW w:type="dxa" w:w="1483"/>
            <w:vAlign w:val="center"/>
            <w:shd w:fill="F6F7F9"/>
          </w:tcPr>
          <w:p>
            <w:pPr>
              <w:pStyle w:val="TableText"/>
              <w:keepNext w:val="0"/>
              <w:jc w:val="center"/>
            </w:pPr>
            <w:r>
              <w:rPr>
                <w:color w:val="000000"/>
                <w:sz w:val="18"/>
              </w:rPr>
              <w:t>59.3%</w:t>
            </w:r>
          </w:p>
        </w:tc>
        <w:tc>
          <w:tcPr>
            <w:tcW w:type="dxa" w:w="1685"/>
            <w:vAlign w:val="center"/>
            <w:shd w:fill="F6F7F9"/>
          </w:tcPr>
          <w:p>
            <w:pPr>
              <w:pStyle w:val="TableText"/>
              <w:keepNext w:val="0"/>
              <w:jc w:val="center"/>
            </w:pPr>
            <w:r>
              <w:rPr>
                <w:color w:val="000000"/>
                <w:sz w:val="18"/>
              </w:rPr>
              <w:t>40.7%</w:t>
            </w:r>
          </w:p>
        </w:tc>
      </w:tr>
    </w:tbl>
    <w:p>
      <w:pPr>
        <w:keepNext w:val="0"/>
        <w:spacing w:after="40" w:before="0" w:line="40" w:lineRule="exact"/>
      </w:pPr>
      <w:r>
        <w:rPr>
          <w:sz w:val="4"/>
        </w:rPr>
      </w:r>
    </w:p>
    <w:p>
      <w:r>
        <w:rPr>
          <w:color w:val="000000"/>
        </w:rPr>
        <w:t xml:space="preserve">Across all 150 ASA24 records, Exact coverage fell from </w:t>
      </w:r>
      <w:r>
        <w:rPr>
          <w:b/>
          <w:color w:val="000000"/>
        </w:rPr>
        <w:t>21/150 (14.0%) to 11/150 (7.33%)</w:t>
      </w:r>
      <w:r>
        <w:rPr>
          <w:color w:val="000000"/>
        </w:rPr>
        <w:t>, despite increased code-output success. Sol retained 10 of GPT-4o's Exact records, lost 11 and gained one. Producing more codes therefore did not improve exact identification.</w:t>
      </w:r>
    </w:p>
    <w:p>
      <w:r>
        <w:rPr>
          <w:color w:val="000000"/>
        </w:rPr>
        <w:t>Among records with codes but no Exact match, the reference code was absent from the final retrieved candidates in 95/104 GPT-4o cases and 127/139 Sol cases. It was retrieved but not selected in the remaining 9 and 12 cases. These diagnostic denominators differ because GPT-4o produced no code for 25 records. Predictions associated with the same photograph under another code occurred in 31 and 32 non-Exact cases, respectively. These counts locate retrieval and selection failures without establishing a unique cause for every error.</w:t>
      </w:r>
    </w:p>
    <w:p>
      <w:r>
        <w:rPr>
          <w:color w:val="000000"/>
        </w:rPr>
        <w:t>For Nutrition5k, GPT-4o provided grams for 190/228 identified items. Its 38 missing items were classified by the retained heuristic as 20 combined names split into components, 14 other renamings or splits/merges, three nonnumeric “Not visible” responses and one whole-response refusal. Another 10 items had grams but no valid food code. Sol provided grams for 175/207 items; its 32 unmatched items occurred in 32 dishes and were classified as 30 combined-name splits and two other renamings. It had no whole-response gram refusal or item with grams but no valid food code. These name-based categories are approximate; the item-level records are preserved.</w:t>
      </w:r>
    </w:p>
    <w:p>
      <w:pPr>
        <w:pStyle w:val="Heading2"/>
      </w:pPr>
      <w:r>
        <w:rPr>
          <w:color w:val="000000"/>
        </w:rPr>
        <w:t>2.2 Main MAE estimates and comparison with the paper</w:t>
      </w:r>
    </w:p>
    <w:p>
      <w:r>
        <w:rPr>
          <w:color w:val="000000"/>
        </w:rPr>
        <w:t xml:space="preserve">Each result cell is </w:t>
      </w:r>
      <w:r>
        <w:rPr>
          <w:b/>
          <w:color w:val="000000"/>
        </w:rPr>
        <w:t>MAE per dish / MAE per unit</w:t>
      </w:r>
      <w:r>
        <w:rPr>
          <w:color w:val="000000"/>
        </w:rPr>
        <w:t>. Values are rounded; full-precision results are retained in the comparison JSON. ASA24 uses the main option reading; Nutrition5k uses complete dishes. The two models' successful subsets differ, so their MAEs combine prediction differences with changes in sample composition. Paper values are reference points from larger samples, not estimates on the same evaluated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354"/>
        <w:gridCol w:w="1742"/>
        <w:gridCol w:w="1512"/>
        <w:gridCol w:w="1771"/>
        <w:gridCol w:w="1771"/>
        <w:gridCol w:w="2131"/>
      </w:tblGrid>
      <w:tr>
        <w:trPr>
          <w:cantSplit/>
          <w:tblHeader/>
        </w:trPr>
        <w:tc>
          <w:tcPr>
            <w:tcW w:type="dxa" w:w="1354"/>
            <w:vAlign w:val="center"/>
            <w:shd w:fill="E5EAF0"/>
          </w:tcPr>
          <w:p>
            <w:pPr>
              <w:pStyle w:val="TableText"/>
              <w:keepNext/>
              <w:jc w:val="left"/>
            </w:pPr>
            <w:r>
              <w:rPr>
                <w:b/>
                <w:color w:val="000000"/>
                <w:sz w:val="18"/>
              </w:rPr>
              <w:t>Dataset</w:t>
            </w:r>
          </w:p>
        </w:tc>
        <w:tc>
          <w:tcPr>
            <w:tcW w:type="dxa" w:w="1742"/>
            <w:vAlign w:val="center"/>
            <w:shd w:fill="E5EAF0"/>
          </w:tcPr>
          <w:p>
            <w:pPr>
              <w:pStyle w:val="TableText"/>
              <w:keepNext/>
              <w:jc w:val="left"/>
            </w:pPr>
            <w:r>
              <w:rPr>
                <w:b/>
                <w:color w:val="000000"/>
                <w:sz w:val="18"/>
              </w:rPr>
              <w:t>Target</w:t>
            </w:r>
          </w:p>
        </w:tc>
        <w:tc>
          <w:tcPr>
            <w:tcW w:type="dxa" w:w="1512"/>
            <w:vAlign w:val="center"/>
            <w:shd w:fill="E5EAF0"/>
          </w:tcPr>
          <w:p>
            <w:pPr>
              <w:pStyle w:val="TableText"/>
              <w:keepNext/>
              <w:jc w:val="center"/>
            </w:pPr>
            <w:r>
              <w:rPr>
                <w:b/>
                <w:color w:val="000000"/>
                <w:sz w:val="18"/>
              </w:rPr>
              <w:t>n: GPT-4o / Sol</w:t>
            </w:r>
          </w:p>
        </w:tc>
        <w:tc>
          <w:tcPr>
            <w:tcW w:type="dxa" w:w="1771"/>
            <w:vAlign w:val="center"/>
            <w:shd w:fill="E5EAF0"/>
          </w:tcPr>
          <w:p>
            <w:pPr>
              <w:pStyle w:val="TableText"/>
              <w:keepNext/>
              <w:jc w:val="center"/>
            </w:pPr>
            <w:r>
              <w:rPr>
                <w:b/>
                <w:color w:val="000000"/>
                <w:sz w:val="18"/>
              </w:rPr>
              <w:t>GPT-4o</w:t>
            </w:r>
          </w:p>
        </w:tc>
        <w:tc>
          <w:tcPr>
            <w:tcW w:type="dxa" w:w="1771"/>
            <w:vAlign w:val="center"/>
            <w:shd w:fill="E5EAF0"/>
          </w:tcPr>
          <w:p>
            <w:pPr>
              <w:pStyle w:val="TableText"/>
              <w:keepNext/>
              <w:jc w:val="center"/>
            </w:pPr>
            <w:r>
              <w:rPr>
                <w:b/>
                <w:color w:val="000000"/>
                <w:sz w:val="18"/>
              </w:rPr>
              <w:t>Sol</w:t>
            </w:r>
          </w:p>
        </w:tc>
        <w:tc>
          <w:tcPr>
            <w:tcW w:type="dxa" w:w="2131"/>
            <w:vAlign w:val="center"/>
            <w:shd w:fill="E5EAF0"/>
          </w:tcPr>
          <w:p>
            <w:pPr>
              <w:pStyle w:val="TableText"/>
              <w:keepNext/>
              <w:jc w:val="center"/>
            </w:pPr>
            <w:r>
              <w:rPr>
                <w:b/>
                <w:color w:val="000000"/>
                <w:sz w:val="18"/>
              </w:rPr>
              <w:t>Paper: Tables 1–2</w:t>
            </w:r>
          </w:p>
        </w:tc>
      </w:tr>
      <w:tr>
        <w:trPr>
          <w:cantSplit/>
        </w:trPr>
        <w:tc>
          <w:tcPr>
            <w:tcW w:type="dxa" w:w="1354"/>
            <w:vAlign w:val="center"/>
            <w:shd w:fill="FFFFFF"/>
          </w:tcPr>
          <w:p>
            <w:pPr>
              <w:pStyle w:val="TableText"/>
              <w:keepNext/>
              <w:jc w:val="left"/>
            </w:pPr>
            <w:r>
              <w:rPr>
                <w:color w:val="000000"/>
                <w:sz w:val="18"/>
              </w:rPr>
              <w:t>ASA24</w:t>
            </w:r>
          </w:p>
        </w:tc>
        <w:tc>
          <w:tcPr>
            <w:tcW w:type="dxa" w:w="1742"/>
            <w:vAlign w:val="center"/>
            <w:shd w:fill="FFFFFF"/>
          </w:tcPr>
          <w:p>
            <w:pPr>
              <w:pStyle w:val="TableText"/>
              <w:keepNext/>
              <w:jc w:val="left"/>
            </w:pPr>
            <w:r>
              <w:rPr>
                <w:color w:val="000000"/>
                <w:sz w:val="18"/>
              </w:rPr>
              <w:t>Weight (g)</w:t>
            </w:r>
          </w:p>
        </w:tc>
        <w:tc>
          <w:tcPr>
            <w:tcW w:type="dxa" w:w="1512"/>
            <w:vAlign w:val="center"/>
            <w:shd w:fill="FFFFFF"/>
          </w:tcPr>
          <w:p>
            <w:pPr>
              <w:pStyle w:val="TableText"/>
              <w:keepNext/>
              <w:jc w:val="center"/>
            </w:pPr>
            <w:r>
              <w:rPr>
                <w:color w:val="000000"/>
                <w:sz w:val="18"/>
              </w:rPr>
              <w:t>21 / 11</w:t>
            </w:r>
          </w:p>
        </w:tc>
        <w:tc>
          <w:tcPr>
            <w:tcW w:type="dxa" w:w="1771"/>
            <w:vAlign w:val="center"/>
            <w:shd w:fill="FFFFFF"/>
          </w:tcPr>
          <w:p>
            <w:pPr>
              <w:pStyle w:val="TableText"/>
              <w:keepNext/>
              <w:jc w:val="center"/>
            </w:pPr>
            <w:r>
              <w:rPr>
                <w:color w:val="000000"/>
                <w:sz w:val="18"/>
              </w:rPr>
              <w:t>92.65 / 0.4726</w:t>
            </w:r>
          </w:p>
        </w:tc>
        <w:tc>
          <w:tcPr>
            <w:tcW w:type="dxa" w:w="1771"/>
            <w:vAlign w:val="center"/>
            <w:shd w:fill="FFFFFF"/>
          </w:tcPr>
          <w:p>
            <w:pPr>
              <w:pStyle w:val="TableText"/>
              <w:keepNext/>
              <w:jc w:val="center"/>
            </w:pPr>
            <w:r>
              <w:rPr>
                <w:color w:val="000000"/>
                <w:sz w:val="18"/>
              </w:rPr>
              <w:t>59.68 / 0.3265</w:t>
            </w:r>
          </w:p>
        </w:tc>
        <w:tc>
          <w:tcPr>
            <w:tcW w:type="dxa" w:w="2131"/>
            <w:vAlign w:val="center"/>
            <w:shd w:fill="FFFFFF"/>
          </w:tcPr>
          <w:p>
            <w:pPr>
              <w:pStyle w:val="TableText"/>
              <w:keepNext/>
              <w:jc w:val="center"/>
            </w:pPr>
            <w:r>
              <w:rPr>
                <w:color w:val="000000"/>
                <w:sz w:val="18"/>
              </w:rPr>
              <w:t>49.4 / 0.348</w:t>
            </w:r>
          </w:p>
        </w:tc>
      </w:tr>
      <w:tr>
        <w:trPr>
          <w:cantSplit/>
        </w:trPr>
        <w:tc>
          <w:tcPr>
            <w:tcW w:type="dxa" w:w="1354"/>
            <w:vAlign w:val="center"/>
            <w:shd w:fill="F6F7F9"/>
          </w:tcPr>
          <w:p>
            <w:pPr>
              <w:pStyle w:val="TableText"/>
              <w:keepNext/>
              <w:jc w:val="left"/>
            </w:pPr>
            <w:r>
              <w:rPr>
                <w:color w:val="000000"/>
                <w:sz w:val="18"/>
              </w:rPr>
              <w:t>ASA24</w:t>
            </w:r>
          </w:p>
        </w:tc>
        <w:tc>
          <w:tcPr>
            <w:tcW w:type="dxa" w:w="1742"/>
            <w:vAlign w:val="center"/>
            <w:shd w:fill="F6F7F9"/>
          </w:tcPr>
          <w:p>
            <w:pPr>
              <w:pStyle w:val="TableText"/>
              <w:keepNext/>
              <w:jc w:val="left"/>
            </w:pPr>
            <w:r>
              <w:rPr>
                <w:color w:val="000000"/>
                <w:sz w:val="18"/>
              </w:rPr>
              <w:t>Energy (kcal)</w:t>
            </w:r>
          </w:p>
        </w:tc>
        <w:tc>
          <w:tcPr>
            <w:tcW w:type="dxa" w:w="1512"/>
            <w:vAlign w:val="center"/>
            <w:shd w:fill="F6F7F9"/>
          </w:tcPr>
          <w:p>
            <w:pPr>
              <w:pStyle w:val="TableText"/>
              <w:keepNext/>
              <w:jc w:val="center"/>
            </w:pPr>
            <w:r>
              <w:rPr>
                <w:color w:val="000000"/>
                <w:sz w:val="18"/>
              </w:rPr>
              <w:t>21 / 11</w:t>
            </w:r>
          </w:p>
        </w:tc>
        <w:tc>
          <w:tcPr>
            <w:tcW w:type="dxa" w:w="1771"/>
            <w:vAlign w:val="center"/>
            <w:shd w:fill="F6F7F9"/>
          </w:tcPr>
          <w:p>
            <w:pPr>
              <w:pStyle w:val="TableText"/>
              <w:keepNext/>
              <w:jc w:val="center"/>
            </w:pPr>
            <w:r>
              <w:rPr>
                <w:color w:val="000000"/>
                <w:sz w:val="18"/>
              </w:rPr>
              <w:t>92.99 / 0.3877</w:t>
            </w:r>
          </w:p>
        </w:tc>
        <w:tc>
          <w:tcPr>
            <w:tcW w:type="dxa" w:w="1771"/>
            <w:vAlign w:val="center"/>
            <w:shd w:fill="F6F7F9"/>
          </w:tcPr>
          <w:p>
            <w:pPr>
              <w:pStyle w:val="TableText"/>
              <w:keepNext/>
              <w:jc w:val="center"/>
            </w:pPr>
            <w:r>
              <w:rPr>
                <w:color w:val="000000"/>
                <w:sz w:val="18"/>
              </w:rPr>
              <w:t>71.19 / 0.3548</w:t>
            </w:r>
          </w:p>
        </w:tc>
        <w:tc>
          <w:tcPr>
            <w:tcW w:type="dxa" w:w="2131"/>
            <w:vAlign w:val="center"/>
            <w:shd w:fill="F6F7F9"/>
          </w:tcPr>
          <w:p>
            <w:pPr>
              <w:pStyle w:val="TableText"/>
              <w:keepNext/>
              <w:jc w:val="center"/>
            </w:pPr>
            <w:r>
              <w:rPr>
                <w:color w:val="000000"/>
                <w:sz w:val="18"/>
              </w:rPr>
              <w:t>47.7 / 0.196</w:t>
            </w:r>
          </w:p>
        </w:tc>
      </w:tr>
      <w:tr>
        <w:trPr>
          <w:cantSplit/>
        </w:trPr>
        <w:tc>
          <w:tcPr>
            <w:tcW w:type="dxa" w:w="1354"/>
            <w:vAlign w:val="center"/>
            <w:shd w:fill="FFFFFF"/>
          </w:tcPr>
          <w:p>
            <w:pPr>
              <w:pStyle w:val="TableText"/>
              <w:keepNext/>
              <w:jc w:val="left"/>
            </w:pPr>
            <w:r>
              <w:rPr>
                <w:color w:val="000000"/>
                <w:sz w:val="18"/>
              </w:rPr>
              <w:t>ASA24</w:t>
            </w:r>
          </w:p>
        </w:tc>
        <w:tc>
          <w:tcPr>
            <w:tcW w:type="dxa" w:w="1742"/>
            <w:vAlign w:val="center"/>
            <w:shd w:fill="FFFFFF"/>
          </w:tcPr>
          <w:p>
            <w:pPr>
              <w:pStyle w:val="TableText"/>
              <w:keepNext/>
              <w:jc w:val="left"/>
            </w:pPr>
            <w:r>
              <w:rPr>
                <w:color w:val="000000"/>
                <w:sz w:val="18"/>
              </w:rPr>
              <w:t>Total Fat (g)</w:t>
            </w:r>
          </w:p>
        </w:tc>
        <w:tc>
          <w:tcPr>
            <w:tcW w:type="dxa" w:w="1512"/>
            <w:vAlign w:val="center"/>
            <w:shd w:fill="FFFFFF"/>
          </w:tcPr>
          <w:p>
            <w:pPr>
              <w:pStyle w:val="TableText"/>
              <w:keepNext/>
              <w:jc w:val="center"/>
            </w:pPr>
            <w:r>
              <w:rPr>
                <w:color w:val="000000"/>
                <w:sz w:val="18"/>
              </w:rPr>
              <w:t>21 / 11</w:t>
            </w:r>
          </w:p>
        </w:tc>
        <w:tc>
          <w:tcPr>
            <w:tcW w:type="dxa" w:w="1771"/>
            <w:vAlign w:val="center"/>
            <w:shd w:fill="FFFFFF"/>
          </w:tcPr>
          <w:p>
            <w:pPr>
              <w:pStyle w:val="TableText"/>
              <w:keepNext/>
              <w:jc w:val="center"/>
            </w:pPr>
            <w:r>
              <w:rPr>
                <w:color w:val="000000"/>
                <w:sz w:val="18"/>
              </w:rPr>
              <w:t>3.607 / 0.3516</w:t>
            </w:r>
          </w:p>
        </w:tc>
        <w:tc>
          <w:tcPr>
            <w:tcW w:type="dxa" w:w="1771"/>
            <w:vAlign w:val="center"/>
            <w:shd w:fill="FFFFFF"/>
          </w:tcPr>
          <w:p>
            <w:pPr>
              <w:pStyle w:val="TableText"/>
              <w:keepNext/>
              <w:jc w:val="center"/>
            </w:pPr>
            <w:r>
              <w:rPr>
                <w:color w:val="000000"/>
                <w:sz w:val="18"/>
              </w:rPr>
              <w:t>2.014 / 0.3549</w:t>
            </w:r>
          </w:p>
        </w:tc>
        <w:tc>
          <w:tcPr>
            <w:tcW w:type="dxa" w:w="2131"/>
            <w:vAlign w:val="center"/>
            <w:shd w:fill="FFFFFF"/>
          </w:tcPr>
          <w:p>
            <w:pPr>
              <w:pStyle w:val="TableText"/>
              <w:keepNext/>
              <w:jc w:val="center"/>
            </w:pPr>
            <w:r>
              <w:rPr>
                <w:color w:val="000000"/>
                <w:sz w:val="18"/>
              </w:rPr>
              <w:t>1.8 / 0.174</w:t>
            </w:r>
          </w:p>
        </w:tc>
      </w:tr>
      <w:tr>
        <w:trPr>
          <w:cantSplit/>
        </w:trPr>
        <w:tc>
          <w:tcPr>
            <w:tcW w:type="dxa" w:w="1354"/>
            <w:vAlign w:val="center"/>
            <w:shd w:fill="F6F7F9"/>
          </w:tcPr>
          <w:p>
            <w:pPr>
              <w:pStyle w:val="TableText"/>
              <w:keepNext/>
              <w:jc w:val="left"/>
            </w:pPr>
            <w:r>
              <w:rPr>
                <w:color w:val="000000"/>
                <w:sz w:val="18"/>
              </w:rPr>
              <w:t>ASA24</w:t>
            </w:r>
          </w:p>
        </w:tc>
        <w:tc>
          <w:tcPr>
            <w:tcW w:type="dxa" w:w="1742"/>
            <w:vAlign w:val="center"/>
            <w:shd w:fill="F6F7F9"/>
          </w:tcPr>
          <w:p>
            <w:pPr>
              <w:pStyle w:val="TableText"/>
              <w:keepNext/>
              <w:jc w:val="left"/>
            </w:pPr>
            <w:r>
              <w:rPr>
                <w:color w:val="000000"/>
                <w:sz w:val="18"/>
              </w:rPr>
              <w:t>Carbohydrate (g)</w:t>
            </w:r>
          </w:p>
        </w:tc>
        <w:tc>
          <w:tcPr>
            <w:tcW w:type="dxa" w:w="1512"/>
            <w:vAlign w:val="center"/>
            <w:shd w:fill="F6F7F9"/>
          </w:tcPr>
          <w:p>
            <w:pPr>
              <w:pStyle w:val="TableText"/>
              <w:keepNext/>
              <w:jc w:val="center"/>
            </w:pPr>
            <w:r>
              <w:rPr>
                <w:color w:val="000000"/>
                <w:sz w:val="18"/>
              </w:rPr>
              <w:t>21 / 11</w:t>
            </w:r>
          </w:p>
        </w:tc>
        <w:tc>
          <w:tcPr>
            <w:tcW w:type="dxa" w:w="1771"/>
            <w:vAlign w:val="center"/>
            <w:shd w:fill="F6F7F9"/>
          </w:tcPr>
          <w:p>
            <w:pPr>
              <w:pStyle w:val="TableText"/>
              <w:keepNext/>
              <w:jc w:val="center"/>
            </w:pPr>
            <w:r>
              <w:rPr>
                <w:color w:val="000000"/>
                <w:sz w:val="18"/>
              </w:rPr>
              <w:t>11.92 / 0.4129</w:t>
            </w:r>
          </w:p>
        </w:tc>
        <w:tc>
          <w:tcPr>
            <w:tcW w:type="dxa" w:w="1771"/>
            <w:vAlign w:val="center"/>
            <w:shd w:fill="F6F7F9"/>
          </w:tcPr>
          <w:p>
            <w:pPr>
              <w:pStyle w:val="TableText"/>
              <w:keepNext/>
              <w:jc w:val="center"/>
            </w:pPr>
            <w:r>
              <w:rPr>
                <w:color w:val="000000"/>
                <w:sz w:val="18"/>
              </w:rPr>
              <w:t>11.32 / 0.3722</w:t>
            </w:r>
          </w:p>
        </w:tc>
        <w:tc>
          <w:tcPr>
            <w:tcW w:type="dxa" w:w="2131"/>
            <w:vAlign w:val="center"/>
            <w:shd w:fill="F6F7F9"/>
          </w:tcPr>
          <w:p>
            <w:pPr>
              <w:pStyle w:val="TableText"/>
              <w:keepNext/>
              <w:jc w:val="center"/>
            </w:pPr>
            <w:r>
              <w:rPr>
                <w:color w:val="000000"/>
                <w:sz w:val="18"/>
              </w:rPr>
              <w:t>6.95 / 0.208</w:t>
            </w:r>
          </w:p>
        </w:tc>
      </w:tr>
      <w:tr>
        <w:trPr>
          <w:cantSplit/>
        </w:trPr>
        <w:tc>
          <w:tcPr>
            <w:tcW w:type="dxa" w:w="1354"/>
            <w:vAlign w:val="center"/>
            <w:shd w:fill="FFFFFF"/>
          </w:tcPr>
          <w:p>
            <w:pPr>
              <w:pStyle w:val="TableText"/>
              <w:keepNext/>
              <w:jc w:val="left"/>
            </w:pPr>
            <w:r>
              <w:rPr>
                <w:color w:val="000000"/>
                <w:sz w:val="18"/>
              </w:rPr>
              <w:t>ASA24</w:t>
            </w:r>
          </w:p>
        </w:tc>
        <w:tc>
          <w:tcPr>
            <w:tcW w:type="dxa" w:w="1742"/>
            <w:vAlign w:val="center"/>
            <w:shd w:fill="FFFFFF"/>
          </w:tcPr>
          <w:p>
            <w:pPr>
              <w:pStyle w:val="TableText"/>
              <w:keepNext/>
              <w:jc w:val="left"/>
            </w:pPr>
            <w:r>
              <w:rPr>
                <w:color w:val="000000"/>
                <w:sz w:val="18"/>
              </w:rPr>
              <w:t>Protein (g)</w:t>
            </w:r>
          </w:p>
        </w:tc>
        <w:tc>
          <w:tcPr>
            <w:tcW w:type="dxa" w:w="1512"/>
            <w:vAlign w:val="center"/>
            <w:shd w:fill="FFFFFF"/>
          </w:tcPr>
          <w:p>
            <w:pPr>
              <w:pStyle w:val="TableText"/>
              <w:keepNext/>
              <w:jc w:val="center"/>
            </w:pPr>
            <w:r>
              <w:rPr>
                <w:color w:val="000000"/>
                <w:sz w:val="18"/>
              </w:rPr>
              <w:t>21 / 11</w:t>
            </w:r>
          </w:p>
        </w:tc>
        <w:tc>
          <w:tcPr>
            <w:tcW w:type="dxa" w:w="1771"/>
            <w:vAlign w:val="center"/>
            <w:shd w:fill="FFFFFF"/>
          </w:tcPr>
          <w:p>
            <w:pPr>
              <w:pStyle w:val="TableText"/>
              <w:keepNext/>
              <w:jc w:val="center"/>
            </w:pPr>
            <w:r>
              <w:rPr>
                <w:color w:val="000000"/>
                <w:sz w:val="18"/>
              </w:rPr>
              <w:t>3.542 / 0.4096</w:t>
            </w:r>
          </w:p>
        </w:tc>
        <w:tc>
          <w:tcPr>
            <w:tcW w:type="dxa" w:w="1771"/>
            <w:vAlign w:val="center"/>
            <w:shd w:fill="FFFFFF"/>
          </w:tcPr>
          <w:p>
            <w:pPr>
              <w:pStyle w:val="TableText"/>
              <w:keepNext/>
              <w:jc w:val="center"/>
            </w:pPr>
            <w:r>
              <w:rPr>
                <w:color w:val="000000"/>
                <w:sz w:val="18"/>
              </w:rPr>
              <w:t>2.182 / 0.2921</w:t>
            </w:r>
          </w:p>
        </w:tc>
        <w:tc>
          <w:tcPr>
            <w:tcW w:type="dxa" w:w="2131"/>
            <w:vAlign w:val="center"/>
            <w:shd w:fill="FFFFFF"/>
          </w:tcPr>
          <w:p>
            <w:pPr>
              <w:pStyle w:val="TableText"/>
              <w:keepNext/>
              <w:jc w:val="center"/>
            </w:pPr>
            <w:r>
              <w:rPr>
                <w:color w:val="000000"/>
                <w:sz w:val="18"/>
              </w:rPr>
              <w:t>1.38 / 0.233</w:t>
            </w:r>
          </w:p>
        </w:tc>
      </w:tr>
      <w:tr>
        <w:trPr>
          <w:cantSplit/>
        </w:trPr>
        <w:tc>
          <w:tcPr>
            <w:tcW w:type="dxa" w:w="1354"/>
            <w:vAlign w:val="center"/>
            <w:shd w:fill="F6F7F9"/>
          </w:tcPr>
          <w:p>
            <w:pPr>
              <w:pStyle w:val="TableText"/>
              <w:keepNext/>
              <w:jc w:val="left"/>
            </w:pPr>
            <w:r>
              <w:rPr>
                <w:color w:val="000000"/>
                <w:sz w:val="18"/>
              </w:rPr>
              <w:t>Nutrition5k</w:t>
            </w:r>
          </w:p>
        </w:tc>
        <w:tc>
          <w:tcPr>
            <w:tcW w:type="dxa" w:w="1742"/>
            <w:vAlign w:val="center"/>
            <w:shd w:fill="F6F7F9"/>
          </w:tcPr>
          <w:p>
            <w:pPr>
              <w:pStyle w:val="TableText"/>
              <w:keepNext/>
              <w:jc w:val="left"/>
            </w:pPr>
            <w:r>
              <w:rPr>
                <w:color w:val="000000"/>
                <w:sz w:val="18"/>
              </w:rPr>
              <w:t>Weight (g)</w:t>
            </w:r>
          </w:p>
        </w:tc>
        <w:tc>
          <w:tcPr>
            <w:tcW w:type="dxa" w:w="1512"/>
            <w:vAlign w:val="center"/>
            <w:shd w:fill="F6F7F9"/>
          </w:tcPr>
          <w:p>
            <w:pPr>
              <w:pStyle w:val="TableText"/>
              <w:keepNext/>
              <w:jc w:val="center"/>
            </w:pPr>
            <w:r>
              <w:rPr>
                <w:color w:val="000000"/>
                <w:sz w:val="18"/>
              </w:rPr>
              <w:t>86 / 118</w:t>
            </w:r>
          </w:p>
        </w:tc>
        <w:tc>
          <w:tcPr>
            <w:tcW w:type="dxa" w:w="1771"/>
            <w:vAlign w:val="center"/>
            <w:shd w:fill="F6F7F9"/>
          </w:tcPr>
          <w:p>
            <w:pPr>
              <w:pStyle w:val="TableText"/>
              <w:keepNext/>
              <w:jc w:val="center"/>
            </w:pPr>
            <w:r>
              <w:rPr>
                <w:color w:val="000000"/>
                <w:sz w:val="18"/>
              </w:rPr>
              <w:t>95 / 0.4062</w:t>
            </w:r>
          </w:p>
        </w:tc>
        <w:tc>
          <w:tcPr>
            <w:tcW w:type="dxa" w:w="1771"/>
            <w:vAlign w:val="center"/>
            <w:shd w:fill="F6F7F9"/>
          </w:tcPr>
          <w:p>
            <w:pPr>
              <w:pStyle w:val="TableText"/>
              <w:keepNext/>
              <w:jc w:val="center"/>
            </w:pPr>
            <w:r>
              <w:rPr>
                <w:color w:val="000000"/>
                <w:sz w:val="18"/>
              </w:rPr>
              <w:t>69.42 / 0.271</w:t>
            </w:r>
          </w:p>
        </w:tc>
        <w:tc>
          <w:tcPr>
            <w:tcW w:type="dxa" w:w="2131"/>
            <w:vAlign w:val="center"/>
            <w:shd w:fill="F6F7F9"/>
          </w:tcPr>
          <w:p>
            <w:pPr>
              <w:pStyle w:val="TableText"/>
              <w:keepNext/>
              <w:jc w:val="center"/>
            </w:pPr>
            <w:r>
              <w:rPr>
                <w:color w:val="000000"/>
                <w:sz w:val="18"/>
              </w:rPr>
              <w:t>45.1 / 0.156</w:t>
            </w:r>
          </w:p>
        </w:tc>
      </w:tr>
      <w:tr>
        <w:trPr>
          <w:cantSplit/>
        </w:trPr>
        <w:tc>
          <w:tcPr>
            <w:tcW w:type="dxa" w:w="1354"/>
            <w:vAlign w:val="center"/>
            <w:shd w:fill="FFFFFF"/>
          </w:tcPr>
          <w:p>
            <w:pPr>
              <w:pStyle w:val="TableText"/>
              <w:keepNext/>
              <w:jc w:val="left"/>
            </w:pPr>
            <w:r>
              <w:rPr>
                <w:color w:val="000000"/>
                <w:sz w:val="18"/>
              </w:rPr>
              <w:t>Nutrition5k</w:t>
            </w:r>
          </w:p>
        </w:tc>
        <w:tc>
          <w:tcPr>
            <w:tcW w:type="dxa" w:w="1742"/>
            <w:vAlign w:val="center"/>
            <w:shd w:fill="FFFFFF"/>
          </w:tcPr>
          <w:p>
            <w:pPr>
              <w:pStyle w:val="TableText"/>
              <w:keepNext/>
              <w:jc w:val="left"/>
            </w:pPr>
            <w:r>
              <w:rPr>
                <w:color w:val="000000"/>
                <w:sz w:val="18"/>
              </w:rPr>
              <w:t>Energy (kcal)</w:t>
            </w:r>
          </w:p>
        </w:tc>
        <w:tc>
          <w:tcPr>
            <w:tcW w:type="dxa" w:w="1512"/>
            <w:vAlign w:val="center"/>
            <w:shd w:fill="FFFFFF"/>
          </w:tcPr>
          <w:p>
            <w:pPr>
              <w:pStyle w:val="TableText"/>
              <w:keepNext/>
              <w:jc w:val="center"/>
            </w:pPr>
            <w:r>
              <w:rPr>
                <w:color w:val="000000"/>
                <w:sz w:val="18"/>
              </w:rPr>
              <w:t>86 / 118</w:t>
            </w:r>
          </w:p>
        </w:tc>
        <w:tc>
          <w:tcPr>
            <w:tcW w:type="dxa" w:w="1771"/>
            <w:vAlign w:val="center"/>
            <w:shd w:fill="FFFFFF"/>
          </w:tcPr>
          <w:p>
            <w:pPr>
              <w:pStyle w:val="TableText"/>
              <w:keepNext/>
              <w:jc w:val="center"/>
            </w:pPr>
            <w:r>
              <w:rPr>
                <w:color w:val="000000"/>
                <w:sz w:val="18"/>
              </w:rPr>
              <w:t>123 / 0.4227</w:t>
            </w:r>
          </w:p>
        </w:tc>
        <w:tc>
          <w:tcPr>
            <w:tcW w:type="dxa" w:w="1771"/>
            <w:vAlign w:val="center"/>
            <w:shd w:fill="FFFFFF"/>
          </w:tcPr>
          <w:p>
            <w:pPr>
              <w:pStyle w:val="TableText"/>
              <w:keepNext/>
              <w:jc w:val="center"/>
            </w:pPr>
            <w:r>
              <w:rPr>
                <w:color w:val="000000"/>
                <w:sz w:val="18"/>
              </w:rPr>
              <w:t>124.6 / 0.3993</w:t>
            </w:r>
          </w:p>
        </w:tc>
        <w:tc>
          <w:tcPr>
            <w:tcW w:type="dxa" w:w="2131"/>
            <w:vAlign w:val="center"/>
            <w:shd w:fill="FFFFFF"/>
          </w:tcPr>
          <w:p>
            <w:pPr>
              <w:pStyle w:val="TableText"/>
              <w:keepNext/>
              <w:jc w:val="center"/>
            </w:pPr>
            <w:r>
              <w:rPr>
                <w:color w:val="000000"/>
                <w:sz w:val="18"/>
              </w:rPr>
              <w:t>68.2 / 0.197</w:t>
            </w:r>
          </w:p>
        </w:tc>
      </w:tr>
      <w:tr>
        <w:trPr>
          <w:cantSplit/>
        </w:trPr>
        <w:tc>
          <w:tcPr>
            <w:tcW w:type="dxa" w:w="1354"/>
            <w:vAlign w:val="center"/>
            <w:shd w:fill="F6F7F9"/>
          </w:tcPr>
          <w:p>
            <w:pPr>
              <w:pStyle w:val="TableText"/>
              <w:keepNext/>
              <w:jc w:val="left"/>
            </w:pPr>
            <w:r>
              <w:rPr>
                <w:color w:val="000000"/>
                <w:sz w:val="18"/>
              </w:rPr>
              <w:t>Nutrition5k</w:t>
            </w:r>
          </w:p>
        </w:tc>
        <w:tc>
          <w:tcPr>
            <w:tcW w:type="dxa" w:w="1742"/>
            <w:vAlign w:val="center"/>
            <w:shd w:fill="F6F7F9"/>
          </w:tcPr>
          <w:p>
            <w:pPr>
              <w:pStyle w:val="TableText"/>
              <w:keepNext/>
              <w:jc w:val="left"/>
            </w:pPr>
            <w:r>
              <w:rPr>
                <w:color w:val="000000"/>
                <w:sz w:val="18"/>
              </w:rPr>
              <w:t>Total Fat (g)</w:t>
            </w:r>
          </w:p>
        </w:tc>
        <w:tc>
          <w:tcPr>
            <w:tcW w:type="dxa" w:w="1512"/>
            <w:vAlign w:val="center"/>
            <w:shd w:fill="F6F7F9"/>
          </w:tcPr>
          <w:p>
            <w:pPr>
              <w:pStyle w:val="TableText"/>
              <w:keepNext/>
              <w:jc w:val="center"/>
            </w:pPr>
            <w:r>
              <w:rPr>
                <w:color w:val="000000"/>
                <w:sz w:val="18"/>
              </w:rPr>
              <w:t>86 / 118</w:t>
            </w:r>
          </w:p>
        </w:tc>
        <w:tc>
          <w:tcPr>
            <w:tcW w:type="dxa" w:w="1771"/>
            <w:vAlign w:val="center"/>
            <w:shd w:fill="F6F7F9"/>
          </w:tcPr>
          <w:p>
            <w:pPr>
              <w:pStyle w:val="TableText"/>
              <w:keepNext/>
              <w:jc w:val="center"/>
            </w:pPr>
            <w:r>
              <w:rPr>
                <w:color w:val="000000"/>
                <w:sz w:val="18"/>
              </w:rPr>
              <w:t>7.69 / 0.5183</w:t>
            </w:r>
          </w:p>
        </w:tc>
        <w:tc>
          <w:tcPr>
            <w:tcW w:type="dxa" w:w="1771"/>
            <w:vAlign w:val="center"/>
            <w:shd w:fill="F6F7F9"/>
          </w:tcPr>
          <w:p>
            <w:pPr>
              <w:pStyle w:val="TableText"/>
              <w:keepNext/>
              <w:jc w:val="center"/>
            </w:pPr>
            <w:r>
              <w:rPr>
                <w:color w:val="000000"/>
                <w:sz w:val="18"/>
              </w:rPr>
              <w:t>8.99 / 0.5643</w:t>
            </w:r>
          </w:p>
        </w:tc>
        <w:tc>
          <w:tcPr>
            <w:tcW w:type="dxa" w:w="2131"/>
            <w:vAlign w:val="center"/>
            <w:shd w:fill="F6F7F9"/>
          </w:tcPr>
          <w:p>
            <w:pPr>
              <w:pStyle w:val="TableText"/>
              <w:keepNext/>
              <w:jc w:val="center"/>
            </w:pPr>
            <w:r>
              <w:rPr>
                <w:color w:val="000000"/>
                <w:sz w:val="18"/>
              </w:rPr>
              <w:t>4.01 / 0.226</w:t>
            </w:r>
          </w:p>
        </w:tc>
      </w:tr>
      <w:tr>
        <w:trPr>
          <w:cantSplit/>
        </w:trPr>
        <w:tc>
          <w:tcPr>
            <w:tcW w:type="dxa" w:w="1354"/>
            <w:vAlign w:val="center"/>
            <w:shd w:fill="FFFFFF"/>
          </w:tcPr>
          <w:p>
            <w:pPr>
              <w:pStyle w:val="TableText"/>
              <w:keepNext/>
              <w:jc w:val="left"/>
            </w:pPr>
            <w:r>
              <w:rPr>
                <w:color w:val="000000"/>
                <w:sz w:val="18"/>
              </w:rPr>
              <w:t>Nutrition5k</w:t>
            </w:r>
          </w:p>
        </w:tc>
        <w:tc>
          <w:tcPr>
            <w:tcW w:type="dxa" w:w="1742"/>
            <w:vAlign w:val="center"/>
            <w:shd w:fill="FFFFFF"/>
          </w:tcPr>
          <w:p>
            <w:pPr>
              <w:pStyle w:val="TableText"/>
              <w:keepNext/>
              <w:jc w:val="left"/>
            </w:pPr>
            <w:r>
              <w:rPr>
                <w:color w:val="000000"/>
                <w:sz w:val="18"/>
              </w:rPr>
              <w:t>Carbohydrate (g)</w:t>
            </w:r>
          </w:p>
        </w:tc>
        <w:tc>
          <w:tcPr>
            <w:tcW w:type="dxa" w:w="1512"/>
            <w:vAlign w:val="center"/>
            <w:shd w:fill="FFFFFF"/>
          </w:tcPr>
          <w:p>
            <w:pPr>
              <w:pStyle w:val="TableText"/>
              <w:keepNext/>
              <w:jc w:val="center"/>
            </w:pPr>
            <w:r>
              <w:rPr>
                <w:color w:val="000000"/>
                <w:sz w:val="18"/>
              </w:rPr>
              <w:t>86 / 118</w:t>
            </w:r>
          </w:p>
        </w:tc>
        <w:tc>
          <w:tcPr>
            <w:tcW w:type="dxa" w:w="1771"/>
            <w:vAlign w:val="center"/>
            <w:shd w:fill="FFFFFF"/>
          </w:tcPr>
          <w:p>
            <w:pPr>
              <w:pStyle w:val="TableText"/>
              <w:keepNext/>
              <w:jc w:val="center"/>
            </w:pPr>
            <w:r>
              <w:rPr>
                <w:color w:val="000000"/>
                <w:sz w:val="18"/>
              </w:rPr>
              <w:t>11.86 / 0.494</w:t>
            </w:r>
          </w:p>
        </w:tc>
        <w:tc>
          <w:tcPr>
            <w:tcW w:type="dxa" w:w="1771"/>
            <w:vAlign w:val="center"/>
            <w:shd w:fill="FFFFFF"/>
          </w:tcPr>
          <w:p>
            <w:pPr>
              <w:pStyle w:val="TableText"/>
              <w:keepNext/>
              <w:jc w:val="center"/>
            </w:pPr>
            <w:r>
              <w:rPr>
                <w:color w:val="000000"/>
                <w:sz w:val="18"/>
              </w:rPr>
              <w:t>13.3 / 0.5214</w:t>
            </w:r>
          </w:p>
        </w:tc>
        <w:tc>
          <w:tcPr>
            <w:tcW w:type="dxa" w:w="2131"/>
            <w:vAlign w:val="center"/>
            <w:shd w:fill="FFFFFF"/>
          </w:tcPr>
          <w:p>
            <w:pPr>
              <w:pStyle w:val="TableText"/>
              <w:keepNext/>
              <w:jc w:val="center"/>
            </w:pPr>
            <w:r>
              <w:rPr>
                <w:color w:val="000000"/>
                <w:sz w:val="18"/>
              </w:rPr>
              <w:t>5.98 / 0.212</w:t>
            </w:r>
          </w:p>
        </w:tc>
      </w:tr>
      <w:tr>
        <w:trPr>
          <w:cantSplit/>
        </w:trPr>
        <w:tc>
          <w:tcPr>
            <w:tcW w:type="dxa" w:w="1354"/>
            <w:vAlign w:val="center"/>
            <w:shd w:fill="F6F7F9"/>
          </w:tcPr>
          <w:p>
            <w:pPr>
              <w:pStyle w:val="TableText"/>
              <w:keepNext w:val="0"/>
              <w:jc w:val="left"/>
            </w:pPr>
            <w:r>
              <w:rPr>
                <w:color w:val="000000"/>
                <w:sz w:val="18"/>
              </w:rPr>
              <w:t>Nutrition5k</w:t>
            </w:r>
          </w:p>
        </w:tc>
        <w:tc>
          <w:tcPr>
            <w:tcW w:type="dxa" w:w="1742"/>
            <w:vAlign w:val="center"/>
            <w:shd w:fill="F6F7F9"/>
          </w:tcPr>
          <w:p>
            <w:pPr>
              <w:pStyle w:val="TableText"/>
              <w:keepNext w:val="0"/>
              <w:jc w:val="left"/>
            </w:pPr>
            <w:r>
              <w:rPr>
                <w:color w:val="000000"/>
                <w:sz w:val="18"/>
              </w:rPr>
              <w:t>Protein (g)</w:t>
            </w:r>
          </w:p>
        </w:tc>
        <w:tc>
          <w:tcPr>
            <w:tcW w:type="dxa" w:w="1512"/>
            <w:vAlign w:val="center"/>
            <w:shd w:fill="F6F7F9"/>
          </w:tcPr>
          <w:p>
            <w:pPr>
              <w:pStyle w:val="TableText"/>
              <w:keepNext w:val="0"/>
              <w:jc w:val="center"/>
            </w:pPr>
            <w:r>
              <w:rPr>
                <w:color w:val="000000"/>
                <w:sz w:val="18"/>
              </w:rPr>
              <w:t>86 / 118</w:t>
            </w:r>
          </w:p>
        </w:tc>
        <w:tc>
          <w:tcPr>
            <w:tcW w:type="dxa" w:w="1771"/>
            <w:vAlign w:val="center"/>
            <w:shd w:fill="F6F7F9"/>
          </w:tcPr>
          <w:p>
            <w:pPr>
              <w:pStyle w:val="TableText"/>
              <w:keepNext w:val="0"/>
              <w:jc w:val="center"/>
            </w:pPr>
            <w:r>
              <w:rPr>
                <w:color w:val="000000"/>
                <w:sz w:val="18"/>
              </w:rPr>
              <w:t>9.907 / 0.5285</w:t>
            </w:r>
          </w:p>
        </w:tc>
        <w:tc>
          <w:tcPr>
            <w:tcW w:type="dxa" w:w="1771"/>
            <w:vAlign w:val="center"/>
            <w:shd w:fill="F6F7F9"/>
          </w:tcPr>
          <w:p>
            <w:pPr>
              <w:pStyle w:val="TableText"/>
              <w:keepNext w:val="0"/>
              <w:jc w:val="center"/>
            </w:pPr>
            <w:r>
              <w:rPr>
                <w:color w:val="000000"/>
                <w:sz w:val="18"/>
              </w:rPr>
              <w:t>10.71 / 0.5307</w:t>
            </w:r>
          </w:p>
        </w:tc>
        <w:tc>
          <w:tcPr>
            <w:tcW w:type="dxa" w:w="2131"/>
            <w:vAlign w:val="center"/>
            <w:shd w:fill="F6F7F9"/>
          </w:tcPr>
          <w:p>
            <w:pPr>
              <w:pStyle w:val="TableText"/>
              <w:keepNext w:val="0"/>
              <w:jc w:val="center"/>
            </w:pPr>
            <w:r>
              <w:rPr>
                <w:color w:val="000000"/>
                <w:sz w:val="18"/>
              </w:rPr>
              <w:t>3.88 / 0.188</w:t>
            </w:r>
          </w:p>
        </w:tc>
      </w:tr>
    </w:tbl>
    <w:p>
      <w:pPr>
        <w:keepNext w:val="0"/>
        <w:spacing w:after="40" w:before="0" w:line="40" w:lineRule="exact"/>
      </w:pPr>
      <w:r>
        <w:rPr>
          <w:sz w:val="4"/>
        </w:rPr>
      </w:r>
    </w:p>
    <w:p>
      <w:r>
        <w:rPr>
          <w:color w:val="000000"/>
        </w:rPr>
        <w:t>The ASA24 estimates use 21 records from 10 codes for GPT-4o and 11 records from nine codes for Sol. The Nutrition5k analyses use 86 and 118 complete dishes, respectively. Secondary ASA24 amount estimates and Nutrition5k partial estimates are not substituted for these main results.</w:t>
      </w:r>
    </w:p>
    <w:p>
      <w:pPr>
        <w:pStyle w:val="Heading1"/>
      </w:pPr>
      <w:r>
        <w:rPr>
          <w:color w:val="000000"/>
        </w:rPr>
        <w:t>3. Supplementary model-substitution comparison</w:t>
      </w:r>
    </w:p>
    <w:p>
      <w:pPr>
        <w:pStyle w:val="Heading2"/>
      </w:pPr>
      <w:r>
        <w:rPr>
          <w:color w:val="000000"/>
        </w:rPr>
        <w:t>3.1 Shared subsets and paired intervals</w:t>
      </w:r>
    </w:p>
    <w:p>
      <w:r>
        <w:rPr>
          <w:color w:val="000000"/>
        </w:rPr>
        <w:t xml:space="preserve">To reduce the effect of changing successful subsets, the paired analysis uses the </w:t>
      </w:r>
      <w:r>
        <w:rPr>
          <w:b/>
          <w:color w:val="000000"/>
        </w:rPr>
        <w:t>same 10 jointly Exact ASA24 records from eight codes</w:t>
      </w:r>
      <w:r>
        <w:rPr>
          <w:color w:val="000000"/>
        </w:rPr>
        <w:t xml:space="preserve">, and the </w:t>
      </w:r>
      <w:r>
        <w:rPr>
          <w:b/>
          <w:color w:val="000000"/>
        </w:rPr>
        <w:t>same 79 jointly complete Nutrition5k dishes</w:t>
      </w:r>
      <w:r>
        <w:rPr>
          <w:color w:val="000000"/>
        </w:rPr>
        <w:t>. Each target uses identical valid records on both sides. ASA24 nutrient density is identical within each paired record, leaving portion predictions as the source of its nutritional differences. Nutrition5k food decompositions and code choices can still differ between models.</w:t>
      </w:r>
    </w:p>
    <w:p>
      <w:r>
        <w:rPr>
          <w:color w:val="000000"/>
        </w:rPr>
        <w:t xml:space="preserve">Intervals are percentile intervals from 10,000 paired bootstrap replicates, seed 20261027. ASA24 resamples the 50 sampled codes as groups, retaining all their portion sizes and failures; Nutrition5k resamples dishes. The same draws feed both models. Differences are </w:t>
      </w:r>
      <w:r>
        <w:rPr>
          <w:b/>
          <w:color w:val="000000"/>
        </w:rPr>
        <w:t>Sol minus GPT-4o</w:t>
      </w:r>
      <w:r>
        <w:rPr>
          <w:color w:val="000000"/>
        </w:rPr>
        <w:t>; negative MAE differences favor Sol. These intervals condition on the observed responses, exclude model-response randomness and uncertainty in the paper's estimates, and do not model photographs shared across ASA24 codes. One ASA24 replicate had no usable paired estimate and was explicitly excluded; Nutrition5k had none.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282"/>
        <w:gridCol w:w="1541"/>
        <w:gridCol w:w="922"/>
        <w:gridCol w:w="1786"/>
        <w:gridCol w:w="1786"/>
        <w:gridCol w:w="1267"/>
        <w:gridCol w:w="1699"/>
      </w:tblGrid>
      <w:tr>
        <w:trPr>
          <w:cantSplit/>
          <w:tblHeader/>
        </w:trPr>
        <w:tc>
          <w:tcPr>
            <w:tcW w:type="dxa" w:w="1282"/>
            <w:vAlign w:val="center"/>
            <w:shd w:fill="E5EAF0"/>
          </w:tcPr>
          <w:p>
            <w:pPr>
              <w:pStyle w:val="TableText"/>
              <w:keepNext/>
              <w:jc w:val="left"/>
            </w:pPr>
            <w:r>
              <w:rPr>
                <w:b/>
                <w:color w:val="000000"/>
                <w:sz w:val="18"/>
              </w:rPr>
              <w:t>Dataset</w:t>
            </w:r>
          </w:p>
        </w:tc>
        <w:tc>
          <w:tcPr>
            <w:tcW w:type="dxa" w:w="1541"/>
            <w:vAlign w:val="center"/>
            <w:shd w:fill="E5EAF0"/>
          </w:tcPr>
          <w:p>
            <w:pPr>
              <w:pStyle w:val="TableText"/>
              <w:keepNext/>
              <w:jc w:val="left"/>
            </w:pPr>
            <w:r>
              <w:rPr>
                <w:b/>
                <w:color w:val="000000"/>
                <w:sz w:val="18"/>
              </w:rPr>
              <w:t>Target</w:t>
            </w:r>
          </w:p>
        </w:tc>
        <w:tc>
          <w:tcPr>
            <w:tcW w:type="dxa" w:w="922"/>
            <w:vAlign w:val="center"/>
            <w:shd w:fill="E5EAF0"/>
          </w:tcPr>
          <w:p>
            <w:pPr>
              <w:pStyle w:val="TableText"/>
              <w:keepNext/>
              <w:jc w:val="center"/>
            </w:pPr>
            <w:r>
              <w:rPr>
                <w:b/>
                <w:color w:val="000000"/>
                <w:sz w:val="18"/>
              </w:rPr>
              <w:t>Shared n</w:t>
            </w:r>
          </w:p>
        </w:tc>
        <w:tc>
          <w:tcPr>
            <w:tcW w:type="dxa" w:w="1786"/>
            <w:vAlign w:val="center"/>
            <w:shd w:fill="E5EAF0"/>
          </w:tcPr>
          <w:p>
            <w:pPr>
              <w:pStyle w:val="TableText"/>
              <w:keepNext/>
              <w:jc w:val="center"/>
            </w:pPr>
            <w:r>
              <w:rPr>
                <w:b/>
                <w:color w:val="000000"/>
                <w:sz w:val="18"/>
              </w:rPr>
              <w:t>GPT-4o: MAE / per unit</w:t>
            </w:r>
          </w:p>
        </w:tc>
        <w:tc>
          <w:tcPr>
            <w:tcW w:type="dxa" w:w="1786"/>
            <w:vAlign w:val="center"/>
            <w:shd w:fill="E5EAF0"/>
          </w:tcPr>
          <w:p>
            <w:pPr>
              <w:pStyle w:val="TableText"/>
              <w:keepNext/>
              <w:jc w:val="center"/>
            </w:pPr>
            <w:r>
              <w:rPr>
                <w:b/>
                <w:color w:val="000000"/>
                <w:sz w:val="18"/>
              </w:rPr>
              <w:t>Sol: MAE / per unit</w:t>
            </w:r>
          </w:p>
        </w:tc>
        <w:tc>
          <w:tcPr>
            <w:tcW w:type="dxa" w:w="1267"/>
            <w:vAlign w:val="center"/>
            <w:shd w:fill="E5EAF0"/>
          </w:tcPr>
          <w:p>
            <w:pPr>
              <w:pStyle w:val="TableText"/>
              <w:keepNext/>
              <w:jc w:val="center"/>
            </w:pPr>
            <w:r>
              <w:rPr>
                <w:b/>
                <w:color w:val="000000"/>
                <w:sz w:val="18"/>
              </w:rPr>
              <w:t>Difference in MAE</w:t>
            </w:r>
          </w:p>
        </w:tc>
        <w:tc>
          <w:tcPr>
            <w:tcW w:type="dxa" w:w="1699"/>
            <w:vAlign w:val="center"/>
            <w:shd w:fill="E5EAF0"/>
          </w:tcPr>
          <w:p>
            <w:pPr>
              <w:pStyle w:val="TableText"/>
              <w:keepNext/>
              <w:jc w:val="center"/>
            </w:pPr>
            <w:r>
              <w:rPr>
                <w:b/>
                <w:color w:val="000000"/>
                <w:sz w:val="18"/>
              </w:rPr>
              <w:t>Paired 95% interval</w:t>
            </w:r>
          </w:p>
        </w:tc>
      </w:tr>
      <w:tr>
        <w:trPr>
          <w:cantSplit/>
        </w:trPr>
        <w:tc>
          <w:tcPr>
            <w:tcW w:type="dxa" w:w="1282"/>
            <w:vAlign w:val="center"/>
            <w:shd w:fill="FFFFFF"/>
          </w:tcPr>
          <w:p>
            <w:pPr>
              <w:pStyle w:val="TableText"/>
              <w:keepNext/>
              <w:jc w:val="left"/>
            </w:pPr>
            <w:r>
              <w:rPr>
                <w:color w:val="000000"/>
                <w:sz w:val="18"/>
              </w:rPr>
              <w:t>ASA24</w:t>
            </w:r>
          </w:p>
        </w:tc>
        <w:tc>
          <w:tcPr>
            <w:tcW w:type="dxa" w:w="1541"/>
            <w:vAlign w:val="center"/>
            <w:shd w:fill="FFFFFF"/>
          </w:tcPr>
          <w:p>
            <w:pPr>
              <w:pStyle w:val="TableText"/>
              <w:keepNext/>
              <w:jc w:val="left"/>
            </w:pPr>
            <w:r>
              <w:rPr>
                <w:color w:val="000000"/>
                <w:sz w:val="18"/>
              </w:rPr>
              <w:t>Weight (g)</w:t>
            </w:r>
          </w:p>
        </w:tc>
        <w:tc>
          <w:tcPr>
            <w:tcW w:type="dxa" w:w="922"/>
            <w:vAlign w:val="center"/>
            <w:shd w:fill="FFFFFF"/>
          </w:tcPr>
          <w:p>
            <w:pPr>
              <w:pStyle w:val="TableText"/>
              <w:keepNext/>
              <w:jc w:val="center"/>
            </w:pPr>
            <w:r>
              <w:rPr>
                <w:color w:val="000000"/>
                <w:sz w:val="18"/>
              </w:rPr>
              <w:t>10</w:t>
            </w:r>
          </w:p>
        </w:tc>
        <w:tc>
          <w:tcPr>
            <w:tcW w:type="dxa" w:w="1786"/>
            <w:vAlign w:val="center"/>
            <w:shd w:fill="FFFFFF"/>
          </w:tcPr>
          <w:p>
            <w:pPr>
              <w:pStyle w:val="TableText"/>
              <w:keepNext/>
              <w:jc w:val="center"/>
            </w:pPr>
            <w:r>
              <w:rPr>
                <w:color w:val="000000"/>
                <w:sz w:val="18"/>
              </w:rPr>
              <w:t>102.3 / 0.525</w:t>
            </w:r>
          </w:p>
        </w:tc>
        <w:tc>
          <w:tcPr>
            <w:tcW w:type="dxa" w:w="1786"/>
            <w:vAlign w:val="center"/>
            <w:shd w:fill="FFFFFF"/>
          </w:tcPr>
          <w:p>
            <w:pPr>
              <w:pStyle w:val="TableText"/>
              <w:keepNext/>
              <w:jc w:val="center"/>
            </w:pPr>
            <w:r>
              <w:rPr>
                <w:color w:val="000000"/>
                <w:sz w:val="18"/>
              </w:rPr>
              <w:t>59.4 / 0.3049</w:t>
            </w:r>
          </w:p>
        </w:tc>
        <w:tc>
          <w:tcPr>
            <w:tcW w:type="dxa" w:w="1267"/>
            <w:vAlign w:val="center"/>
            <w:shd w:fill="FFFFFF"/>
          </w:tcPr>
          <w:p>
            <w:pPr>
              <w:pStyle w:val="TableText"/>
              <w:keepNext/>
              <w:jc w:val="center"/>
            </w:pPr>
            <w:r>
              <w:rPr>
                <w:color w:val="000000"/>
                <w:sz w:val="18"/>
              </w:rPr>
              <w:t>-42.88</w:t>
            </w:r>
          </w:p>
        </w:tc>
        <w:tc>
          <w:tcPr>
            <w:tcW w:type="dxa" w:w="1699"/>
            <w:vAlign w:val="center"/>
            <w:shd w:fill="FFFFFF"/>
          </w:tcPr>
          <w:p>
            <w:pPr>
              <w:pStyle w:val="TableText"/>
              <w:keepNext/>
              <w:jc w:val="center"/>
            </w:pPr>
            <w:r>
              <w:rPr>
                <w:color w:val="000000"/>
                <w:sz w:val="18"/>
              </w:rPr>
              <w:t>[-88.15, 0.75]</w:t>
            </w:r>
          </w:p>
        </w:tc>
      </w:tr>
      <w:tr>
        <w:trPr>
          <w:cantSplit/>
        </w:trPr>
        <w:tc>
          <w:tcPr>
            <w:tcW w:type="dxa" w:w="1282"/>
            <w:vAlign w:val="center"/>
            <w:shd w:fill="F6F7F9"/>
          </w:tcPr>
          <w:p>
            <w:pPr>
              <w:pStyle w:val="TableText"/>
              <w:keepNext/>
              <w:jc w:val="left"/>
            </w:pPr>
            <w:r>
              <w:rPr>
                <w:color w:val="000000"/>
                <w:sz w:val="18"/>
              </w:rPr>
              <w:t>ASA24</w:t>
            </w:r>
          </w:p>
        </w:tc>
        <w:tc>
          <w:tcPr>
            <w:tcW w:type="dxa" w:w="1541"/>
            <w:vAlign w:val="center"/>
            <w:shd w:fill="F6F7F9"/>
          </w:tcPr>
          <w:p>
            <w:pPr>
              <w:pStyle w:val="TableText"/>
              <w:keepNext/>
              <w:jc w:val="left"/>
            </w:pPr>
            <w:r>
              <w:rPr>
                <w:color w:val="000000"/>
                <w:sz w:val="18"/>
              </w:rPr>
              <w:t>Energy (kcal)</w:t>
            </w:r>
          </w:p>
        </w:tc>
        <w:tc>
          <w:tcPr>
            <w:tcW w:type="dxa" w:w="922"/>
            <w:vAlign w:val="center"/>
            <w:shd w:fill="F6F7F9"/>
          </w:tcPr>
          <w:p>
            <w:pPr>
              <w:pStyle w:val="TableText"/>
              <w:keepNext/>
              <w:jc w:val="center"/>
            </w:pPr>
            <w:r>
              <w:rPr>
                <w:color w:val="000000"/>
                <w:sz w:val="18"/>
              </w:rPr>
              <w:t>10</w:t>
            </w:r>
          </w:p>
        </w:tc>
        <w:tc>
          <w:tcPr>
            <w:tcW w:type="dxa" w:w="1786"/>
            <w:vAlign w:val="center"/>
            <w:shd w:fill="F6F7F9"/>
          </w:tcPr>
          <w:p>
            <w:pPr>
              <w:pStyle w:val="TableText"/>
              <w:keepNext/>
              <w:jc w:val="center"/>
            </w:pPr>
            <w:r>
              <w:rPr>
                <w:color w:val="000000"/>
                <w:sz w:val="18"/>
              </w:rPr>
              <w:t>101.2 / 0.4656</w:t>
            </w:r>
          </w:p>
        </w:tc>
        <w:tc>
          <w:tcPr>
            <w:tcW w:type="dxa" w:w="1786"/>
            <w:vAlign w:val="center"/>
            <w:shd w:fill="F6F7F9"/>
          </w:tcPr>
          <w:p>
            <w:pPr>
              <w:pStyle w:val="TableText"/>
              <w:keepNext/>
              <w:jc w:val="center"/>
            </w:pPr>
            <w:r>
              <w:rPr>
                <w:color w:val="000000"/>
                <w:sz w:val="18"/>
              </w:rPr>
              <w:t>74.87 / 0.3446</w:t>
            </w:r>
          </w:p>
        </w:tc>
        <w:tc>
          <w:tcPr>
            <w:tcW w:type="dxa" w:w="1267"/>
            <w:vAlign w:val="center"/>
            <w:shd w:fill="F6F7F9"/>
          </w:tcPr>
          <w:p>
            <w:pPr>
              <w:pStyle w:val="TableText"/>
              <w:keepNext/>
              <w:jc w:val="center"/>
            </w:pPr>
            <w:r>
              <w:rPr>
                <w:color w:val="000000"/>
                <w:sz w:val="18"/>
              </w:rPr>
              <w:t>-26.31</w:t>
            </w:r>
          </w:p>
        </w:tc>
        <w:tc>
          <w:tcPr>
            <w:tcW w:type="dxa" w:w="1699"/>
            <w:vAlign w:val="center"/>
            <w:shd w:fill="F6F7F9"/>
          </w:tcPr>
          <w:p>
            <w:pPr>
              <w:pStyle w:val="TableText"/>
              <w:keepNext/>
              <w:jc w:val="center"/>
            </w:pPr>
            <w:r>
              <w:rPr>
                <w:color w:val="000000"/>
                <w:sz w:val="18"/>
              </w:rPr>
              <w:t>[-71.24, 18.01]</w:t>
            </w:r>
          </w:p>
        </w:tc>
      </w:tr>
      <w:tr>
        <w:trPr>
          <w:cantSplit/>
        </w:trPr>
        <w:tc>
          <w:tcPr>
            <w:tcW w:type="dxa" w:w="1282"/>
            <w:vAlign w:val="center"/>
            <w:shd w:fill="FFFFFF"/>
          </w:tcPr>
          <w:p>
            <w:pPr>
              <w:pStyle w:val="TableText"/>
              <w:keepNext/>
              <w:jc w:val="left"/>
            </w:pPr>
            <w:r>
              <w:rPr>
                <w:color w:val="000000"/>
                <w:sz w:val="18"/>
              </w:rPr>
              <w:t>ASA24</w:t>
            </w:r>
          </w:p>
        </w:tc>
        <w:tc>
          <w:tcPr>
            <w:tcW w:type="dxa" w:w="1541"/>
            <w:vAlign w:val="center"/>
            <w:shd w:fill="FFFFFF"/>
          </w:tcPr>
          <w:p>
            <w:pPr>
              <w:pStyle w:val="TableText"/>
              <w:keepNext/>
              <w:jc w:val="left"/>
            </w:pPr>
            <w:r>
              <w:rPr>
                <w:color w:val="000000"/>
                <w:sz w:val="18"/>
              </w:rPr>
              <w:t>Total Fat (g)</w:t>
            </w:r>
          </w:p>
        </w:tc>
        <w:tc>
          <w:tcPr>
            <w:tcW w:type="dxa" w:w="922"/>
            <w:vAlign w:val="center"/>
            <w:shd w:fill="FFFFFF"/>
          </w:tcPr>
          <w:p>
            <w:pPr>
              <w:pStyle w:val="TableText"/>
              <w:keepNext/>
              <w:jc w:val="center"/>
            </w:pPr>
            <w:r>
              <w:rPr>
                <w:color w:val="000000"/>
                <w:sz w:val="18"/>
              </w:rPr>
              <w:t>10</w:t>
            </w:r>
          </w:p>
        </w:tc>
        <w:tc>
          <w:tcPr>
            <w:tcW w:type="dxa" w:w="1786"/>
            <w:vAlign w:val="center"/>
            <w:shd w:fill="FFFFFF"/>
          </w:tcPr>
          <w:p>
            <w:pPr>
              <w:pStyle w:val="TableText"/>
              <w:keepNext/>
              <w:jc w:val="center"/>
            </w:pPr>
            <w:r>
              <w:rPr>
                <w:color w:val="000000"/>
                <w:sz w:val="18"/>
              </w:rPr>
              <w:t>2.897 / 0.4646</w:t>
            </w:r>
          </w:p>
        </w:tc>
        <w:tc>
          <w:tcPr>
            <w:tcW w:type="dxa" w:w="1786"/>
            <w:vAlign w:val="center"/>
            <w:shd w:fill="FFFFFF"/>
          </w:tcPr>
          <w:p>
            <w:pPr>
              <w:pStyle w:val="TableText"/>
              <w:keepNext/>
              <w:jc w:val="center"/>
            </w:pPr>
            <w:r>
              <w:rPr>
                <w:color w:val="000000"/>
                <w:sz w:val="18"/>
              </w:rPr>
              <w:t>2.21 / 0.3544</w:t>
            </w:r>
          </w:p>
        </w:tc>
        <w:tc>
          <w:tcPr>
            <w:tcW w:type="dxa" w:w="1267"/>
            <w:vAlign w:val="center"/>
            <w:shd w:fill="FFFFFF"/>
          </w:tcPr>
          <w:p>
            <w:pPr>
              <w:pStyle w:val="TableText"/>
              <w:keepNext/>
              <w:jc w:val="center"/>
            </w:pPr>
            <w:r>
              <w:rPr>
                <w:color w:val="000000"/>
                <w:sz w:val="18"/>
              </w:rPr>
              <w:t>-0.6872</w:t>
            </w:r>
          </w:p>
        </w:tc>
        <w:tc>
          <w:tcPr>
            <w:tcW w:type="dxa" w:w="1699"/>
            <w:vAlign w:val="center"/>
            <w:shd w:fill="FFFFFF"/>
          </w:tcPr>
          <w:p>
            <w:pPr>
              <w:pStyle w:val="TableText"/>
              <w:keepNext/>
              <w:jc w:val="center"/>
            </w:pPr>
            <w:r>
              <w:rPr>
                <w:color w:val="000000"/>
                <w:sz w:val="18"/>
              </w:rPr>
              <w:t>[-3.437, 1.112]</w:t>
            </w:r>
          </w:p>
        </w:tc>
      </w:tr>
      <w:tr>
        <w:trPr>
          <w:cantSplit/>
        </w:trPr>
        <w:tc>
          <w:tcPr>
            <w:tcW w:type="dxa" w:w="1282"/>
            <w:vAlign w:val="center"/>
            <w:shd w:fill="F6F7F9"/>
          </w:tcPr>
          <w:p>
            <w:pPr>
              <w:pStyle w:val="TableText"/>
              <w:keepNext/>
              <w:jc w:val="left"/>
            </w:pPr>
            <w:r>
              <w:rPr>
                <w:color w:val="000000"/>
                <w:sz w:val="18"/>
              </w:rPr>
              <w:t>ASA24</w:t>
            </w:r>
          </w:p>
        </w:tc>
        <w:tc>
          <w:tcPr>
            <w:tcW w:type="dxa" w:w="1541"/>
            <w:vAlign w:val="center"/>
            <w:shd w:fill="F6F7F9"/>
          </w:tcPr>
          <w:p>
            <w:pPr>
              <w:pStyle w:val="TableText"/>
              <w:keepNext/>
              <w:jc w:val="left"/>
            </w:pPr>
            <w:r>
              <w:rPr>
                <w:color w:val="000000"/>
                <w:sz w:val="18"/>
              </w:rPr>
              <w:t>Carbohydrate (g)</w:t>
            </w:r>
          </w:p>
        </w:tc>
        <w:tc>
          <w:tcPr>
            <w:tcW w:type="dxa" w:w="922"/>
            <w:vAlign w:val="center"/>
            <w:shd w:fill="F6F7F9"/>
          </w:tcPr>
          <w:p>
            <w:pPr>
              <w:pStyle w:val="TableText"/>
              <w:keepNext/>
              <w:jc w:val="center"/>
            </w:pPr>
            <w:r>
              <w:rPr>
                <w:color w:val="000000"/>
                <w:sz w:val="18"/>
              </w:rPr>
              <w:t>10</w:t>
            </w:r>
          </w:p>
        </w:tc>
        <w:tc>
          <w:tcPr>
            <w:tcW w:type="dxa" w:w="1786"/>
            <w:vAlign w:val="center"/>
            <w:shd w:fill="F6F7F9"/>
          </w:tcPr>
          <w:p>
            <w:pPr>
              <w:pStyle w:val="TableText"/>
              <w:keepNext/>
              <w:jc w:val="center"/>
            </w:pPr>
            <w:r>
              <w:rPr>
                <w:color w:val="000000"/>
                <w:sz w:val="18"/>
              </w:rPr>
              <w:t>14.99 / 0.4601</w:t>
            </w:r>
          </w:p>
        </w:tc>
        <w:tc>
          <w:tcPr>
            <w:tcW w:type="dxa" w:w="1786"/>
            <w:vAlign w:val="center"/>
            <w:shd w:fill="F6F7F9"/>
          </w:tcPr>
          <w:p>
            <w:pPr>
              <w:pStyle w:val="TableText"/>
              <w:keepNext/>
              <w:jc w:val="center"/>
            </w:pPr>
            <w:r>
              <w:rPr>
                <w:color w:val="000000"/>
                <w:sz w:val="18"/>
              </w:rPr>
              <w:t>11.57 / 0.3552</w:t>
            </w:r>
          </w:p>
        </w:tc>
        <w:tc>
          <w:tcPr>
            <w:tcW w:type="dxa" w:w="1267"/>
            <w:vAlign w:val="center"/>
            <w:shd w:fill="F6F7F9"/>
          </w:tcPr>
          <w:p>
            <w:pPr>
              <w:pStyle w:val="TableText"/>
              <w:keepNext/>
              <w:jc w:val="center"/>
            </w:pPr>
            <w:r>
              <w:rPr>
                <w:color w:val="000000"/>
                <w:sz w:val="18"/>
              </w:rPr>
              <w:t>-3.417</w:t>
            </w:r>
          </w:p>
        </w:tc>
        <w:tc>
          <w:tcPr>
            <w:tcW w:type="dxa" w:w="1699"/>
            <w:vAlign w:val="center"/>
            <w:shd w:fill="F6F7F9"/>
          </w:tcPr>
          <w:p>
            <w:pPr>
              <w:pStyle w:val="TableText"/>
              <w:keepNext/>
              <w:jc w:val="center"/>
            </w:pPr>
            <w:r>
              <w:rPr>
                <w:color w:val="000000"/>
                <w:sz w:val="18"/>
              </w:rPr>
              <w:t>[-10.5, 2.99]</w:t>
            </w:r>
          </w:p>
        </w:tc>
      </w:tr>
      <w:tr>
        <w:trPr>
          <w:cantSplit/>
        </w:trPr>
        <w:tc>
          <w:tcPr>
            <w:tcW w:type="dxa" w:w="1282"/>
            <w:vAlign w:val="center"/>
            <w:shd w:fill="FFFFFF"/>
          </w:tcPr>
          <w:p>
            <w:pPr>
              <w:pStyle w:val="TableText"/>
              <w:keepNext/>
              <w:jc w:val="left"/>
            </w:pPr>
            <w:r>
              <w:rPr>
                <w:color w:val="000000"/>
                <w:sz w:val="18"/>
              </w:rPr>
              <w:t>ASA24</w:t>
            </w:r>
          </w:p>
        </w:tc>
        <w:tc>
          <w:tcPr>
            <w:tcW w:type="dxa" w:w="1541"/>
            <w:vAlign w:val="center"/>
            <w:shd w:fill="FFFFFF"/>
          </w:tcPr>
          <w:p>
            <w:pPr>
              <w:pStyle w:val="TableText"/>
              <w:keepNext/>
              <w:jc w:val="left"/>
            </w:pPr>
            <w:r>
              <w:rPr>
                <w:color w:val="000000"/>
                <w:sz w:val="18"/>
              </w:rPr>
              <w:t>Protein (g)</w:t>
            </w:r>
          </w:p>
        </w:tc>
        <w:tc>
          <w:tcPr>
            <w:tcW w:type="dxa" w:w="922"/>
            <w:vAlign w:val="center"/>
            <w:shd w:fill="FFFFFF"/>
          </w:tcPr>
          <w:p>
            <w:pPr>
              <w:pStyle w:val="TableText"/>
              <w:keepNext/>
              <w:jc w:val="center"/>
            </w:pPr>
            <w:r>
              <w:rPr>
                <w:color w:val="000000"/>
                <w:sz w:val="18"/>
              </w:rPr>
              <w:t>10</w:t>
            </w:r>
          </w:p>
        </w:tc>
        <w:tc>
          <w:tcPr>
            <w:tcW w:type="dxa" w:w="1786"/>
            <w:vAlign w:val="center"/>
            <w:shd w:fill="FFFFFF"/>
          </w:tcPr>
          <w:p>
            <w:pPr>
              <w:pStyle w:val="TableText"/>
              <w:keepNext/>
              <w:jc w:val="center"/>
            </w:pPr>
            <w:r>
              <w:rPr>
                <w:color w:val="000000"/>
                <w:sz w:val="18"/>
              </w:rPr>
              <w:t>4.108 / 0.5015</w:t>
            </w:r>
          </w:p>
        </w:tc>
        <w:tc>
          <w:tcPr>
            <w:tcW w:type="dxa" w:w="1786"/>
            <w:vAlign w:val="center"/>
            <w:shd w:fill="FFFFFF"/>
          </w:tcPr>
          <w:p>
            <w:pPr>
              <w:pStyle w:val="TableText"/>
              <w:keepNext/>
              <w:jc w:val="center"/>
            </w:pPr>
            <w:r>
              <w:rPr>
                <w:color w:val="000000"/>
                <w:sz w:val="18"/>
              </w:rPr>
              <w:t>2.374 / 0.2899</w:t>
            </w:r>
          </w:p>
        </w:tc>
        <w:tc>
          <w:tcPr>
            <w:tcW w:type="dxa" w:w="1267"/>
            <w:vAlign w:val="center"/>
            <w:shd w:fill="FFFFFF"/>
          </w:tcPr>
          <w:p>
            <w:pPr>
              <w:pStyle w:val="TableText"/>
              <w:keepNext/>
              <w:jc w:val="center"/>
            </w:pPr>
            <w:r>
              <w:rPr>
                <w:color w:val="000000"/>
                <w:sz w:val="18"/>
              </w:rPr>
              <w:t>-1.734</w:t>
            </w:r>
          </w:p>
        </w:tc>
        <w:tc>
          <w:tcPr>
            <w:tcW w:type="dxa" w:w="1699"/>
            <w:vAlign w:val="center"/>
            <w:shd w:fill="FFFFFF"/>
          </w:tcPr>
          <w:p>
            <w:pPr>
              <w:pStyle w:val="TableText"/>
              <w:keepNext/>
              <w:jc w:val="center"/>
            </w:pPr>
            <w:r>
              <w:rPr>
                <w:color w:val="000000"/>
                <w:sz w:val="18"/>
              </w:rPr>
              <w:t>[-5.373, 0.159]</w:t>
            </w:r>
          </w:p>
        </w:tc>
      </w:tr>
      <w:tr>
        <w:trPr>
          <w:cantSplit/>
        </w:trPr>
        <w:tc>
          <w:tcPr>
            <w:tcW w:type="dxa" w:w="1282"/>
            <w:vAlign w:val="center"/>
            <w:shd w:fill="F6F7F9"/>
          </w:tcPr>
          <w:p>
            <w:pPr>
              <w:pStyle w:val="TableText"/>
              <w:keepNext/>
              <w:jc w:val="left"/>
            </w:pPr>
            <w:r>
              <w:rPr>
                <w:color w:val="000000"/>
                <w:sz w:val="18"/>
              </w:rPr>
              <w:t>Nutrition5k</w:t>
            </w:r>
          </w:p>
        </w:tc>
        <w:tc>
          <w:tcPr>
            <w:tcW w:type="dxa" w:w="1541"/>
            <w:vAlign w:val="center"/>
            <w:shd w:fill="F6F7F9"/>
          </w:tcPr>
          <w:p>
            <w:pPr>
              <w:pStyle w:val="TableText"/>
              <w:keepNext/>
              <w:jc w:val="left"/>
            </w:pPr>
            <w:r>
              <w:rPr>
                <w:color w:val="000000"/>
                <w:sz w:val="18"/>
              </w:rPr>
              <w:t>Weight (g)</w:t>
            </w:r>
          </w:p>
        </w:tc>
        <w:tc>
          <w:tcPr>
            <w:tcW w:type="dxa" w:w="922"/>
            <w:vAlign w:val="center"/>
            <w:shd w:fill="F6F7F9"/>
          </w:tcPr>
          <w:p>
            <w:pPr>
              <w:pStyle w:val="TableText"/>
              <w:keepNext/>
              <w:jc w:val="center"/>
            </w:pPr>
            <w:r>
              <w:rPr>
                <w:color w:val="000000"/>
                <w:sz w:val="18"/>
              </w:rPr>
              <w:t>79</w:t>
            </w:r>
          </w:p>
        </w:tc>
        <w:tc>
          <w:tcPr>
            <w:tcW w:type="dxa" w:w="1786"/>
            <w:vAlign w:val="center"/>
            <w:shd w:fill="F6F7F9"/>
          </w:tcPr>
          <w:p>
            <w:pPr>
              <w:pStyle w:val="TableText"/>
              <w:keepNext/>
              <w:jc w:val="center"/>
            </w:pPr>
            <w:r>
              <w:rPr>
                <w:color w:val="000000"/>
                <w:sz w:val="18"/>
              </w:rPr>
              <w:t>96.01 / 0.4048</w:t>
            </w:r>
          </w:p>
        </w:tc>
        <w:tc>
          <w:tcPr>
            <w:tcW w:type="dxa" w:w="1786"/>
            <w:vAlign w:val="center"/>
            <w:shd w:fill="F6F7F9"/>
          </w:tcPr>
          <w:p>
            <w:pPr>
              <w:pStyle w:val="TableText"/>
              <w:keepNext/>
              <w:jc w:val="center"/>
            </w:pPr>
            <w:r>
              <w:rPr>
                <w:color w:val="000000"/>
                <w:sz w:val="18"/>
              </w:rPr>
              <w:t>62.24 / 0.2624</w:t>
            </w:r>
          </w:p>
        </w:tc>
        <w:tc>
          <w:tcPr>
            <w:tcW w:type="dxa" w:w="1267"/>
            <w:vAlign w:val="center"/>
            <w:shd w:fill="F6F7F9"/>
          </w:tcPr>
          <w:p>
            <w:pPr>
              <w:pStyle w:val="TableText"/>
              <w:keepNext/>
              <w:jc w:val="center"/>
            </w:pPr>
            <w:r>
              <w:rPr>
                <w:color w:val="000000"/>
                <w:sz w:val="18"/>
              </w:rPr>
              <w:t>-33.77</w:t>
            </w:r>
          </w:p>
        </w:tc>
        <w:tc>
          <w:tcPr>
            <w:tcW w:type="dxa" w:w="1699"/>
            <w:vAlign w:val="center"/>
            <w:shd w:fill="F6F7F9"/>
          </w:tcPr>
          <w:p>
            <w:pPr>
              <w:pStyle w:val="TableText"/>
              <w:keepNext/>
              <w:jc w:val="center"/>
            </w:pPr>
            <w:r>
              <w:rPr>
                <w:color w:val="000000"/>
                <w:sz w:val="18"/>
              </w:rPr>
              <w:t>[-48.92, -19.66]</w:t>
            </w:r>
          </w:p>
        </w:tc>
      </w:tr>
      <w:tr>
        <w:trPr>
          <w:cantSplit/>
        </w:trPr>
        <w:tc>
          <w:tcPr>
            <w:tcW w:type="dxa" w:w="1282"/>
            <w:vAlign w:val="center"/>
            <w:shd w:fill="FFFFFF"/>
          </w:tcPr>
          <w:p>
            <w:pPr>
              <w:pStyle w:val="TableText"/>
              <w:keepNext/>
              <w:jc w:val="left"/>
            </w:pPr>
            <w:r>
              <w:rPr>
                <w:color w:val="000000"/>
                <w:sz w:val="18"/>
              </w:rPr>
              <w:t>Nutrition5k</w:t>
            </w:r>
          </w:p>
        </w:tc>
        <w:tc>
          <w:tcPr>
            <w:tcW w:type="dxa" w:w="1541"/>
            <w:vAlign w:val="center"/>
            <w:shd w:fill="FFFFFF"/>
          </w:tcPr>
          <w:p>
            <w:pPr>
              <w:pStyle w:val="TableText"/>
              <w:keepNext/>
              <w:jc w:val="left"/>
            </w:pPr>
            <w:r>
              <w:rPr>
                <w:color w:val="000000"/>
                <w:sz w:val="18"/>
              </w:rPr>
              <w:t>Energy (kcal)</w:t>
            </w:r>
          </w:p>
        </w:tc>
        <w:tc>
          <w:tcPr>
            <w:tcW w:type="dxa" w:w="922"/>
            <w:vAlign w:val="center"/>
            <w:shd w:fill="FFFFFF"/>
          </w:tcPr>
          <w:p>
            <w:pPr>
              <w:pStyle w:val="TableText"/>
              <w:keepNext/>
              <w:jc w:val="center"/>
            </w:pPr>
            <w:r>
              <w:rPr>
                <w:color w:val="000000"/>
                <w:sz w:val="18"/>
              </w:rPr>
              <w:t>79</w:t>
            </w:r>
          </w:p>
        </w:tc>
        <w:tc>
          <w:tcPr>
            <w:tcW w:type="dxa" w:w="1786"/>
            <w:vAlign w:val="center"/>
            <w:shd w:fill="FFFFFF"/>
          </w:tcPr>
          <w:p>
            <w:pPr>
              <w:pStyle w:val="TableText"/>
              <w:keepNext/>
              <w:jc w:val="center"/>
            </w:pPr>
            <w:r>
              <w:rPr>
                <w:color w:val="000000"/>
                <w:sz w:val="18"/>
              </w:rPr>
              <w:t>126.9 / 0.4286</w:t>
            </w:r>
          </w:p>
        </w:tc>
        <w:tc>
          <w:tcPr>
            <w:tcW w:type="dxa" w:w="1786"/>
            <w:vAlign w:val="center"/>
            <w:shd w:fill="FFFFFF"/>
          </w:tcPr>
          <w:p>
            <w:pPr>
              <w:pStyle w:val="TableText"/>
              <w:keepNext/>
              <w:jc w:val="center"/>
            </w:pPr>
            <w:r>
              <w:rPr>
                <w:color w:val="000000"/>
                <w:sz w:val="18"/>
              </w:rPr>
              <w:t>131.8 / 0.4454</w:t>
            </w:r>
          </w:p>
        </w:tc>
        <w:tc>
          <w:tcPr>
            <w:tcW w:type="dxa" w:w="1267"/>
            <w:vAlign w:val="center"/>
            <w:shd w:fill="FFFFFF"/>
          </w:tcPr>
          <w:p>
            <w:pPr>
              <w:pStyle w:val="TableText"/>
              <w:keepNext/>
              <w:jc w:val="center"/>
            </w:pPr>
            <w:r>
              <w:rPr>
                <w:color w:val="000000"/>
                <w:sz w:val="18"/>
              </w:rPr>
              <w:t>4.976</w:t>
            </w:r>
          </w:p>
        </w:tc>
        <w:tc>
          <w:tcPr>
            <w:tcW w:type="dxa" w:w="1699"/>
            <w:vAlign w:val="center"/>
            <w:shd w:fill="FFFFFF"/>
          </w:tcPr>
          <w:p>
            <w:pPr>
              <w:pStyle w:val="TableText"/>
              <w:keepNext/>
              <w:jc w:val="center"/>
            </w:pPr>
            <w:r>
              <w:rPr>
                <w:color w:val="000000"/>
                <w:sz w:val="18"/>
              </w:rPr>
              <w:t>[-28.25, 40.39]</w:t>
            </w:r>
          </w:p>
        </w:tc>
      </w:tr>
      <w:tr>
        <w:trPr>
          <w:cantSplit/>
        </w:trPr>
        <w:tc>
          <w:tcPr>
            <w:tcW w:type="dxa" w:w="1282"/>
            <w:vAlign w:val="center"/>
            <w:shd w:fill="F6F7F9"/>
          </w:tcPr>
          <w:p>
            <w:pPr>
              <w:pStyle w:val="TableText"/>
              <w:keepNext/>
              <w:jc w:val="left"/>
            </w:pPr>
            <w:r>
              <w:rPr>
                <w:color w:val="000000"/>
                <w:sz w:val="18"/>
              </w:rPr>
              <w:t>Nutrition5k</w:t>
            </w:r>
          </w:p>
        </w:tc>
        <w:tc>
          <w:tcPr>
            <w:tcW w:type="dxa" w:w="1541"/>
            <w:vAlign w:val="center"/>
            <w:shd w:fill="F6F7F9"/>
          </w:tcPr>
          <w:p>
            <w:pPr>
              <w:pStyle w:val="TableText"/>
              <w:keepNext/>
              <w:jc w:val="left"/>
            </w:pPr>
            <w:r>
              <w:rPr>
                <w:color w:val="000000"/>
                <w:sz w:val="18"/>
              </w:rPr>
              <w:t>Total Fat (g)</w:t>
            </w:r>
          </w:p>
        </w:tc>
        <w:tc>
          <w:tcPr>
            <w:tcW w:type="dxa" w:w="922"/>
            <w:vAlign w:val="center"/>
            <w:shd w:fill="F6F7F9"/>
          </w:tcPr>
          <w:p>
            <w:pPr>
              <w:pStyle w:val="TableText"/>
              <w:keepNext/>
              <w:jc w:val="center"/>
            </w:pPr>
            <w:r>
              <w:rPr>
                <w:color w:val="000000"/>
                <w:sz w:val="18"/>
              </w:rPr>
              <w:t>79</w:t>
            </w:r>
          </w:p>
        </w:tc>
        <w:tc>
          <w:tcPr>
            <w:tcW w:type="dxa" w:w="1786"/>
            <w:vAlign w:val="center"/>
            <w:shd w:fill="F6F7F9"/>
          </w:tcPr>
          <w:p>
            <w:pPr>
              <w:pStyle w:val="TableText"/>
              <w:keepNext/>
              <w:jc w:val="center"/>
            </w:pPr>
            <w:r>
              <w:rPr>
                <w:color w:val="000000"/>
                <w:sz w:val="18"/>
              </w:rPr>
              <w:t>7.969 / 0.5299</w:t>
            </w:r>
          </w:p>
        </w:tc>
        <w:tc>
          <w:tcPr>
            <w:tcW w:type="dxa" w:w="1786"/>
            <w:vAlign w:val="center"/>
            <w:shd w:fill="F6F7F9"/>
          </w:tcPr>
          <w:p>
            <w:pPr>
              <w:pStyle w:val="TableText"/>
              <w:keepNext/>
              <w:jc w:val="center"/>
            </w:pPr>
            <w:r>
              <w:rPr>
                <w:color w:val="000000"/>
                <w:sz w:val="18"/>
              </w:rPr>
              <w:t>9.435 / 0.6274</w:t>
            </w:r>
          </w:p>
        </w:tc>
        <w:tc>
          <w:tcPr>
            <w:tcW w:type="dxa" w:w="1267"/>
            <w:vAlign w:val="center"/>
            <w:shd w:fill="F6F7F9"/>
          </w:tcPr>
          <w:p>
            <w:pPr>
              <w:pStyle w:val="TableText"/>
              <w:keepNext/>
              <w:jc w:val="center"/>
            </w:pPr>
            <w:r>
              <w:rPr>
                <w:color w:val="000000"/>
                <w:sz w:val="18"/>
              </w:rPr>
              <w:t>1.465</w:t>
            </w:r>
          </w:p>
        </w:tc>
        <w:tc>
          <w:tcPr>
            <w:tcW w:type="dxa" w:w="1699"/>
            <w:vAlign w:val="center"/>
            <w:shd w:fill="F6F7F9"/>
          </w:tcPr>
          <w:p>
            <w:pPr>
              <w:pStyle w:val="TableText"/>
              <w:keepNext/>
              <w:jc w:val="center"/>
            </w:pPr>
            <w:r>
              <w:rPr>
                <w:color w:val="000000"/>
                <w:sz w:val="18"/>
              </w:rPr>
              <w:t>[-0.9601, 3.879]</w:t>
            </w:r>
          </w:p>
        </w:tc>
      </w:tr>
      <w:tr>
        <w:trPr>
          <w:cantSplit/>
        </w:trPr>
        <w:tc>
          <w:tcPr>
            <w:tcW w:type="dxa" w:w="1282"/>
            <w:vAlign w:val="center"/>
            <w:shd w:fill="FFFFFF"/>
          </w:tcPr>
          <w:p>
            <w:pPr>
              <w:pStyle w:val="TableText"/>
              <w:keepNext/>
              <w:jc w:val="left"/>
            </w:pPr>
            <w:r>
              <w:rPr>
                <w:color w:val="000000"/>
                <w:sz w:val="18"/>
              </w:rPr>
              <w:t>Nutrition5k</w:t>
            </w:r>
          </w:p>
        </w:tc>
        <w:tc>
          <w:tcPr>
            <w:tcW w:type="dxa" w:w="1541"/>
            <w:vAlign w:val="center"/>
            <w:shd w:fill="FFFFFF"/>
          </w:tcPr>
          <w:p>
            <w:pPr>
              <w:pStyle w:val="TableText"/>
              <w:keepNext/>
              <w:jc w:val="left"/>
            </w:pPr>
            <w:r>
              <w:rPr>
                <w:color w:val="000000"/>
                <w:sz w:val="18"/>
              </w:rPr>
              <w:t>Carbohydrate (g)</w:t>
            </w:r>
          </w:p>
        </w:tc>
        <w:tc>
          <w:tcPr>
            <w:tcW w:type="dxa" w:w="922"/>
            <w:vAlign w:val="center"/>
            <w:shd w:fill="FFFFFF"/>
          </w:tcPr>
          <w:p>
            <w:pPr>
              <w:pStyle w:val="TableText"/>
              <w:keepNext/>
              <w:jc w:val="center"/>
            </w:pPr>
            <w:r>
              <w:rPr>
                <w:color w:val="000000"/>
                <w:sz w:val="18"/>
              </w:rPr>
              <w:t>79</w:t>
            </w:r>
          </w:p>
        </w:tc>
        <w:tc>
          <w:tcPr>
            <w:tcW w:type="dxa" w:w="1786"/>
            <w:vAlign w:val="center"/>
            <w:shd w:fill="FFFFFF"/>
          </w:tcPr>
          <w:p>
            <w:pPr>
              <w:pStyle w:val="TableText"/>
              <w:keepNext/>
              <w:jc w:val="center"/>
            </w:pPr>
            <w:r>
              <w:rPr>
                <w:color w:val="000000"/>
                <w:sz w:val="18"/>
              </w:rPr>
              <w:t>12.27 / 0.4912</w:t>
            </w:r>
          </w:p>
        </w:tc>
        <w:tc>
          <w:tcPr>
            <w:tcW w:type="dxa" w:w="1786"/>
            <w:vAlign w:val="center"/>
            <w:shd w:fill="FFFFFF"/>
          </w:tcPr>
          <w:p>
            <w:pPr>
              <w:pStyle w:val="TableText"/>
              <w:keepNext/>
              <w:jc w:val="center"/>
            </w:pPr>
            <w:r>
              <w:rPr>
                <w:color w:val="000000"/>
                <w:sz w:val="18"/>
              </w:rPr>
              <w:t>13.66 / 0.5471</w:t>
            </w:r>
          </w:p>
        </w:tc>
        <w:tc>
          <w:tcPr>
            <w:tcW w:type="dxa" w:w="1267"/>
            <w:vAlign w:val="center"/>
            <w:shd w:fill="FFFFFF"/>
          </w:tcPr>
          <w:p>
            <w:pPr>
              <w:pStyle w:val="TableText"/>
              <w:keepNext/>
              <w:jc w:val="center"/>
            </w:pPr>
            <w:r>
              <w:rPr>
                <w:color w:val="000000"/>
                <w:sz w:val="18"/>
              </w:rPr>
              <w:t>1.396</w:t>
            </w:r>
          </w:p>
        </w:tc>
        <w:tc>
          <w:tcPr>
            <w:tcW w:type="dxa" w:w="1699"/>
            <w:vAlign w:val="center"/>
            <w:shd w:fill="FFFFFF"/>
          </w:tcPr>
          <w:p>
            <w:pPr>
              <w:pStyle w:val="TableText"/>
              <w:keepNext/>
              <w:jc w:val="center"/>
            </w:pPr>
            <w:r>
              <w:rPr>
                <w:color w:val="000000"/>
                <w:sz w:val="18"/>
              </w:rPr>
              <w:t>[-1.779, 4.893]</w:t>
            </w:r>
          </w:p>
        </w:tc>
      </w:tr>
      <w:tr>
        <w:trPr>
          <w:cantSplit/>
        </w:trPr>
        <w:tc>
          <w:tcPr>
            <w:tcW w:type="dxa" w:w="1282"/>
            <w:vAlign w:val="center"/>
            <w:shd w:fill="F6F7F9"/>
          </w:tcPr>
          <w:p>
            <w:pPr>
              <w:pStyle w:val="TableText"/>
              <w:keepNext w:val="0"/>
              <w:jc w:val="left"/>
            </w:pPr>
            <w:r>
              <w:rPr>
                <w:color w:val="000000"/>
                <w:sz w:val="18"/>
              </w:rPr>
              <w:t>Nutrition5k</w:t>
            </w:r>
          </w:p>
        </w:tc>
        <w:tc>
          <w:tcPr>
            <w:tcW w:type="dxa" w:w="1541"/>
            <w:vAlign w:val="center"/>
            <w:shd w:fill="F6F7F9"/>
          </w:tcPr>
          <w:p>
            <w:pPr>
              <w:pStyle w:val="TableText"/>
              <w:keepNext w:val="0"/>
              <w:jc w:val="left"/>
            </w:pPr>
            <w:r>
              <w:rPr>
                <w:color w:val="000000"/>
                <w:sz w:val="18"/>
              </w:rPr>
              <w:t>Protein (g)</w:t>
            </w:r>
          </w:p>
        </w:tc>
        <w:tc>
          <w:tcPr>
            <w:tcW w:type="dxa" w:w="922"/>
            <w:vAlign w:val="center"/>
            <w:shd w:fill="F6F7F9"/>
          </w:tcPr>
          <w:p>
            <w:pPr>
              <w:pStyle w:val="TableText"/>
              <w:keepNext w:val="0"/>
              <w:jc w:val="center"/>
            </w:pPr>
            <w:r>
              <w:rPr>
                <w:color w:val="000000"/>
                <w:sz w:val="18"/>
              </w:rPr>
              <w:t>79</w:t>
            </w:r>
          </w:p>
        </w:tc>
        <w:tc>
          <w:tcPr>
            <w:tcW w:type="dxa" w:w="1786"/>
            <w:vAlign w:val="center"/>
            <w:shd w:fill="F6F7F9"/>
          </w:tcPr>
          <w:p>
            <w:pPr>
              <w:pStyle w:val="TableText"/>
              <w:keepNext w:val="0"/>
              <w:jc w:val="center"/>
            </w:pPr>
            <w:r>
              <w:rPr>
                <w:color w:val="000000"/>
                <w:sz w:val="18"/>
              </w:rPr>
              <w:t>10 / 0.5349</w:t>
            </w:r>
          </w:p>
        </w:tc>
        <w:tc>
          <w:tcPr>
            <w:tcW w:type="dxa" w:w="1786"/>
            <w:vAlign w:val="center"/>
            <w:shd w:fill="F6F7F9"/>
          </w:tcPr>
          <w:p>
            <w:pPr>
              <w:pStyle w:val="TableText"/>
              <w:keepNext w:val="0"/>
              <w:jc w:val="center"/>
            </w:pPr>
            <w:r>
              <w:rPr>
                <w:color w:val="000000"/>
                <w:sz w:val="18"/>
              </w:rPr>
              <w:t>10.06 / 0.5377</w:t>
            </w:r>
          </w:p>
        </w:tc>
        <w:tc>
          <w:tcPr>
            <w:tcW w:type="dxa" w:w="1267"/>
            <w:vAlign w:val="center"/>
            <w:shd w:fill="F6F7F9"/>
          </w:tcPr>
          <w:p>
            <w:pPr>
              <w:pStyle w:val="TableText"/>
              <w:keepNext w:val="0"/>
              <w:jc w:val="center"/>
            </w:pPr>
            <w:r>
              <w:rPr>
                <w:color w:val="000000"/>
                <w:sz w:val="18"/>
              </w:rPr>
              <w:t>0.05324</w:t>
            </w:r>
          </w:p>
        </w:tc>
        <w:tc>
          <w:tcPr>
            <w:tcW w:type="dxa" w:w="1699"/>
            <w:vAlign w:val="center"/>
            <w:shd w:fill="F6F7F9"/>
          </w:tcPr>
          <w:p>
            <w:pPr>
              <w:pStyle w:val="TableText"/>
              <w:keepNext w:val="0"/>
              <w:jc w:val="center"/>
            </w:pPr>
            <w:r>
              <w:rPr>
                <w:color w:val="000000"/>
                <w:sz w:val="18"/>
              </w:rPr>
              <w:t>[-1.73, 1.792]</w:t>
            </w:r>
          </w:p>
        </w:tc>
      </w:tr>
    </w:tbl>
    <w:p>
      <w:pPr>
        <w:keepNext w:val="0"/>
        <w:spacing w:after="40" w:before="0" w:line="40" w:lineRule="exact"/>
      </w:pPr>
      <w:r>
        <w:rPr>
          <w:sz w:val="4"/>
        </w:rPr>
      </w:r>
    </w:p>
    <w:p>
      <w:r>
        <w:rPr>
          <w:color w:val="000000"/>
        </w:rPr>
        <w:t>On the shared ASA24 records, both models classified 3/10 portions correctly, with the same record-level pattern of correct and incorrect choices. Their observed accuracy difference and conditional bootstrap interval are both zero. This does not establish equivalence in the population or across repeated model calls.</w:t>
      </w:r>
    </w:p>
    <w:p>
      <w:pPr>
        <w:pStyle w:val="Heading2"/>
      </w:pPr>
      <w:r>
        <w:rPr>
          <w:color w:val="000000"/>
        </w:rPr>
        <w:t>3.2 Weight underestimation in Nutrition5k</w:t>
      </w:r>
    </w:p>
    <w:p>
      <w:r>
        <w:rPr>
          <w:color w:val="000000"/>
        </w:rPr>
        <w:t>Signed error is predicted minus reference weight; a negative value indicates underestimation. Ratios use positive reference weights.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2491"/>
        <w:gridCol w:w="1224"/>
        <w:gridCol w:w="576"/>
        <w:gridCol w:w="2506"/>
        <w:gridCol w:w="3485"/>
      </w:tblGrid>
      <w:tr>
        <w:trPr>
          <w:cantSplit/>
          <w:tblHeader/>
        </w:trPr>
        <w:tc>
          <w:tcPr>
            <w:tcW w:type="dxa" w:w="2491"/>
            <w:vAlign w:val="center"/>
            <w:shd w:fill="E5EAF0"/>
          </w:tcPr>
          <w:p>
            <w:pPr>
              <w:pStyle w:val="TableText"/>
              <w:keepNext/>
              <w:jc w:val="left"/>
            </w:pPr>
            <w:r>
              <w:rPr>
                <w:b/>
                <w:color w:val="000000"/>
                <w:sz w:val="18"/>
              </w:rPr>
              <w:t>Subset</w:t>
            </w:r>
          </w:p>
        </w:tc>
        <w:tc>
          <w:tcPr>
            <w:tcW w:type="dxa" w:w="1224"/>
            <w:vAlign w:val="center"/>
            <w:shd w:fill="E5EAF0"/>
          </w:tcPr>
          <w:p>
            <w:pPr>
              <w:pStyle w:val="TableText"/>
              <w:keepNext/>
              <w:jc w:val="left"/>
            </w:pPr>
            <w:r>
              <w:rPr>
                <w:b/>
                <w:color w:val="000000"/>
                <w:sz w:val="18"/>
              </w:rPr>
              <w:t>Model</w:t>
            </w:r>
          </w:p>
        </w:tc>
        <w:tc>
          <w:tcPr>
            <w:tcW w:type="dxa" w:w="576"/>
            <w:vAlign w:val="center"/>
            <w:shd w:fill="E5EAF0"/>
          </w:tcPr>
          <w:p>
            <w:pPr>
              <w:pStyle w:val="TableText"/>
              <w:keepNext/>
              <w:jc w:val="center"/>
            </w:pPr>
            <w:r>
              <w:rPr>
                <w:b/>
                <w:color w:val="000000"/>
                <w:sz w:val="18"/>
              </w:rPr>
              <w:t>n</w:t>
            </w:r>
          </w:p>
        </w:tc>
        <w:tc>
          <w:tcPr>
            <w:tcW w:type="dxa" w:w="2506"/>
            <w:vAlign w:val="center"/>
            <w:shd w:fill="E5EAF0"/>
          </w:tcPr>
          <w:p>
            <w:pPr>
              <w:pStyle w:val="TableText"/>
              <w:keepNext/>
              <w:jc w:val="center"/>
            </w:pPr>
            <w:r>
              <w:rPr>
                <w:b/>
                <w:color w:val="000000"/>
                <w:sz w:val="18"/>
              </w:rPr>
              <w:t>Mean signed error (g)</w:t>
            </w:r>
          </w:p>
        </w:tc>
        <w:tc>
          <w:tcPr>
            <w:tcW w:type="dxa" w:w="3485"/>
            <w:vAlign w:val="center"/>
            <w:shd w:fill="E5EAF0"/>
          </w:tcPr>
          <w:p>
            <w:pPr>
              <w:pStyle w:val="TableText"/>
              <w:keepNext/>
              <w:jc w:val="center"/>
            </w:pPr>
            <w:r>
              <w:rPr>
                <w:b/>
                <w:color w:val="000000"/>
                <w:sz w:val="18"/>
              </w:rPr>
              <w:t>Median predicted/reference ratio</w:t>
            </w:r>
          </w:p>
        </w:tc>
      </w:tr>
      <w:tr>
        <w:trPr>
          <w:cantSplit/>
        </w:trPr>
        <w:tc>
          <w:tcPr>
            <w:tcW w:type="dxa" w:w="2491"/>
            <w:vAlign w:val="center"/>
            <w:shd w:fill="FFFFFF"/>
          </w:tcPr>
          <w:p>
            <w:pPr>
              <w:pStyle w:val="TableText"/>
              <w:keepNext/>
              <w:jc w:val="left"/>
            </w:pPr>
            <w:r>
              <w:rPr>
                <w:color w:val="000000"/>
                <w:sz w:val="18"/>
              </w:rPr>
              <w:t>Own complete dishes</w:t>
            </w:r>
          </w:p>
        </w:tc>
        <w:tc>
          <w:tcPr>
            <w:tcW w:type="dxa" w:w="1224"/>
            <w:vAlign w:val="center"/>
            <w:shd w:fill="FFFFFF"/>
          </w:tcPr>
          <w:p>
            <w:pPr>
              <w:pStyle w:val="TableText"/>
              <w:keepNext/>
              <w:jc w:val="left"/>
            </w:pPr>
            <w:r>
              <w:rPr>
                <w:color w:val="000000"/>
                <w:sz w:val="18"/>
              </w:rPr>
              <w:t>GPT-4o</w:t>
            </w:r>
          </w:p>
        </w:tc>
        <w:tc>
          <w:tcPr>
            <w:tcW w:type="dxa" w:w="576"/>
            <w:vAlign w:val="center"/>
            <w:shd w:fill="FFFFFF"/>
          </w:tcPr>
          <w:p>
            <w:pPr>
              <w:pStyle w:val="TableText"/>
              <w:keepNext/>
              <w:jc w:val="center"/>
            </w:pPr>
            <w:r>
              <w:rPr>
                <w:color w:val="000000"/>
                <w:sz w:val="18"/>
              </w:rPr>
              <w:t>86</w:t>
            </w:r>
          </w:p>
        </w:tc>
        <w:tc>
          <w:tcPr>
            <w:tcW w:type="dxa" w:w="2506"/>
            <w:vAlign w:val="center"/>
            <w:shd w:fill="FFFFFF"/>
          </w:tcPr>
          <w:p>
            <w:pPr>
              <w:pStyle w:val="TableText"/>
              <w:keepNext/>
              <w:jc w:val="center"/>
            </w:pPr>
            <w:r>
              <w:rPr>
                <w:color w:val="000000"/>
                <w:sz w:val="18"/>
              </w:rPr>
              <w:t>-71.53</w:t>
            </w:r>
          </w:p>
        </w:tc>
        <w:tc>
          <w:tcPr>
            <w:tcW w:type="dxa" w:w="3485"/>
            <w:vAlign w:val="center"/>
            <w:shd w:fill="FFFFFF"/>
          </w:tcPr>
          <w:p>
            <w:pPr>
              <w:pStyle w:val="TableText"/>
              <w:keepNext/>
              <w:jc w:val="center"/>
            </w:pPr>
            <w:r>
              <w:rPr>
                <w:color w:val="000000"/>
                <w:sz w:val="18"/>
              </w:rPr>
              <w:t>0.6827</w:t>
            </w:r>
          </w:p>
        </w:tc>
      </w:tr>
      <w:tr>
        <w:trPr>
          <w:cantSplit/>
        </w:trPr>
        <w:tc>
          <w:tcPr>
            <w:tcW w:type="dxa" w:w="2491"/>
            <w:vAlign w:val="center"/>
            <w:shd w:fill="F6F7F9"/>
          </w:tcPr>
          <w:p>
            <w:pPr>
              <w:pStyle w:val="TableText"/>
              <w:keepNext/>
              <w:jc w:val="left"/>
            </w:pPr>
            <w:r>
              <w:rPr>
                <w:color w:val="000000"/>
                <w:sz w:val="18"/>
              </w:rPr>
              <w:t>Own complete dishes</w:t>
            </w:r>
          </w:p>
        </w:tc>
        <w:tc>
          <w:tcPr>
            <w:tcW w:type="dxa" w:w="1224"/>
            <w:vAlign w:val="center"/>
            <w:shd w:fill="F6F7F9"/>
          </w:tcPr>
          <w:p>
            <w:pPr>
              <w:pStyle w:val="TableText"/>
              <w:keepNext/>
              <w:jc w:val="left"/>
            </w:pPr>
            <w:r>
              <w:rPr>
                <w:color w:val="000000"/>
                <w:sz w:val="18"/>
              </w:rPr>
              <w:t>Sol</w:t>
            </w:r>
          </w:p>
        </w:tc>
        <w:tc>
          <w:tcPr>
            <w:tcW w:type="dxa" w:w="576"/>
            <w:vAlign w:val="center"/>
            <w:shd w:fill="F6F7F9"/>
          </w:tcPr>
          <w:p>
            <w:pPr>
              <w:pStyle w:val="TableText"/>
              <w:keepNext/>
              <w:jc w:val="center"/>
            </w:pPr>
            <w:r>
              <w:rPr>
                <w:color w:val="000000"/>
                <w:sz w:val="18"/>
              </w:rPr>
              <w:t>118</w:t>
            </w:r>
          </w:p>
        </w:tc>
        <w:tc>
          <w:tcPr>
            <w:tcW w:type="dxa" w:w="2506"/>
            <w:vAlign w:val="center"/>
            <w:shd w:fill="F6F7F9"/>
          </w:tcPr>
          <w:p>
            <w:pPr>
              <w:pStyle w:val="TableText"/>
              <w:keepNext/>
              <w:jc w:val="center"/>
            </w:pPr>
            <w:r>
              <w:rPr>
                <w:color w:val="000000"/>
                <w:sz w:val="18"/>
              </w:rPr>
              <w:t>-35.18</w:t>
            </w:r>
          </w:p>
        </w:tc>
        <w:tc>
          <w:tcPr>
            <w:tcW w:type="dxa" w:w="3485"/>
            <w:vAlign w:val="center"/>
            <w:shd w:fill="F6F7F9"/>
          </w:tcPr>
          <w:p>
            <w:pPr>
              <w:pStyle w:val="TableText"/>
              <w:keepNext/>
              <w:jc w:val="center"/>
            </w:pPr>
            <w:r>
              <w:rPr>
                <w:color w:val="000000"/>
                <w:sz w:val="18"/>
              </w:rPr>
              <w:t>0.9196</w:t>
            </w:r>
          </w:p>
        </w:tc>
      </w:tr>
      <w:tr>
        <w:trPr>
          <w:cantSplit/>
        </w:trPr>
        <w:tc>
          <w:tcPr>
            <w:tcW w:type="dxa" w:w="2491"/>
            <w:vAlign w:val="center"/>
            <w:shd w:fill="FFFFFF"/>
          </w:tcPr>
          <w:p>
            <w:pPr>
              <w:pStyle w:val="TableText"/>
              <w:keepNext/>
              <w:jc w:val="left"/>
            </w:pPr>
            <w:r>
              <w:rPr>
                <w:color w:val="000000"/>
                <w:sz w:val="18"/>
              </w:rPr>
              <w:t>Shared complete dishes</w:t>
            </w:r>
          </w:p>
        </w:tc>
        <w:tc>
          <w:tcPr>
            <w:tcW w:type="dxa" w:w="1224"/>
            <w:vAlign w:val="center"/>
            <w:shd w:fill="FFFFFF"/>
          </w:tcPr>
          <w:p>
            <w:pPr>
              <w:pStyle w:val="TableText"/>
              <w:keepNext/>
              <w:jc w:val="left"/>
            </w:pPr>
            <w:r>
              <w:rPr>
                <w:color w:val="000000"/>
                <w:sz w:val="18"/>
              </w:rPr>
              <w:t>GPT-4o</w:t>
            </w:r>
          </w:p>
        </w:tc>
        <w:tc>
          <w:tcPr>
            <w:tcW w:type="dxa" w:w="576"/>
            <w:vAlign w:val="center"/>
            <w:shd w:fill="FFFFFF"/>
          </w:tcPr>
          <w:p>
            <w:pPr>
              <w:pStyle w:val="TableText"/>
              <w:keepNext/>
              <w:jc w:val="center"/>
            </w:pPr>
            <w:r>
              <w:rPr>
                <w:color w:val="000000"/>
                <w:sz w:val="18"/>
              </w:rPr>
              <w:t>79</w:t>
            </w:r>
          </w:p>
        </w:tc>
        <w:tc>
          <w:tcPr>
            <w:tcW w:type="dxa" w:w="2506"/>
            <w:vAlign w:val="center"/>
            <w:shd w:fill="FFFFFF"/>
          </w:tcPr>
          <w:p>
            <w:pPr>
              <w:pStyle w:val="TableText"/>
              <w:keepNext/>
              <w:jc w:val="center"/>
            </w:pPr>
            <w:r>
              <w:rPr>
                <w:color w:val="000000"/>
                <w:sz w:val="18"/>
              </w:rPr>
              <w:t>-75.05</w:t>
            </w:r>
          </w:p>
        </w:tc>
        <w:tc>
          <w:tcPr>
            <w:tcW w:type="dxa" w:w="3485"/>
            <w:vAlign w:val="center"/>
            <w:shd w:fill="FFFFFF"/>
          </w:tcPr>
          <w:p>
            <w:pPr>
              <w:pStyle w:val="TableText"/>
              <w:keepNext/>
              <w:jc w:val="center"/>
            </w:pPr>
            <w:r>
              <w:rPr>
                <w:color w:val="000000"/>
                <w:sz w:val="18"/>
              </w:rPr>
              <w:t>0.6787</w:t>
            </w:r>
          </w:p>
        </w:tc>
      </w:tr>
      <w:tr>
        <w:trPr>
          <w:cantSplit/>
        </w:trPr>
        <w:tc>
          <w:tcPr>
            <w:tcW w:type="dxa" w:w="2491"/>
            <w:vAlign w:val="center"/>
            <w:shd w:fill="F6F7F9"/>
          </w:tcPr>
          <w:p>
            <w:pPr>
              <w:pStyle w:val="TableText"/>
              <w:keepNext w:val="0"/>
              <w:jc w:val="left"/>
            </w:pPr>
            <w:r>
              <w:rPr>
                <w:color w:val="000000"/>
                <w:sz w:val="18"/>
              </w:rPr>
              <w:t>Shared complete dishes</w:t>
            </w:r>
          </w:p>
        </w:tc>
        <w:tc>
          <w:tcPr>
            <w:tcW w:type="dxa" w:w="1224"/>
            <w:vAlign w:val="center"/>
            <w:shd w:fill="F6F7F9"/>
          </w:tcPr>
          <w:p>
            <w:pPr>
              <w:pStyle w:val="TableText"/>
              <w:keepNext w:val="0"/>
              <w:jc w:val="left"/>
            </w:pPr>
            <w:r>
              <w:rPr>
                <w:color w:val="000000"/>
                <w:sz w:val="18"/>
              </w:rPr>
              <w:t>Sol</w:t>
            </w:r>
          </w:p>
        </w:tc>
        <w:tc>
          <w:tcPr>
            <w:tcW w:type="dxa" w:w="576"/>
            <w:vAlign w:val="center"/>
            <w:shd w:fill="F6F7F9"/>
          </w:tcPr>
          <w:p>
            <w:pPr>
              <w:pStyle w:val="TableText"/>
              <w:keepNext w:val="0"/>
              <w:jc w:val="center"/>
            </w:pPr>
            <w:r>
              <w:rPr>
                <w:color w:val="000000"/>
                <w:sz w:val="18"/>
              </w:rPr>
              <w:t>79</w:t>
            </w:r>
          </w:p>
        </w:tc>
        <w:tc>
          <w:tcPr>
            <w:tcW w:type="dxa" w:w="2506"/>
            <w:vAlign w:val="center"/>
            <w:shd w:fill="F6F7F9"/>
          </w:tcPr>
          <w:p>
            <w:pPr>
              <w:pStyle w:val="TableText"/>
              <w:keepNext w:val="0"/>
              <w:jc w:val="center"/>
            </w:pPr>
            <w:r>
              <w:rPr>
                <w:color w:val="000000"/>
                <w:sz w:val="18"/>
              </w:rPr>
              <w:t>-25.15</w:t>
            </w:r>
          </w:p>
        </w:tc>
        <w:tc>
          <w:tcPr>
            <w:tcW w:type="dxa" w:w="3485"/>
            <w:vAlign w:val="center"/>
            <w:shd w:fill="F6F7F9"/>
          </w:tcPr>
          <w:p>
            <w:pPr>
              <w:pStyle w:val="TableText"/>
              <w:keepNext w:val="0"/>
              <w:jc w:val="center"/>
            </w:pPr>
            <w:r>
              <w:rPr>
                <w:color w:val="000000"/>
                <w:sz w:val="18"/>
              </w:rPr>
              <w:t>0.9402</w:t>
            </w:r>
          </w:p>
        </w:tc>
      </w:tr>
    </w:tbl>
    <w:p>
      <w:pPr>
        <w:keepNext w:val="0"/>
        <w:spacing w:after="40" w:before="0" w:line="40" w:lineRule="exact"/>
      </w:pPr>
      <w:r>
        <w:rPr>
          <w:sz w:val="4"/>
        </w:rPr>
      </w:r>
    </w:p>
    <w:p>
      <w:r>
        <w:rPr>
          <w:color w:val="000000"/>
        </w:rPr>
        <w:t>On the 79 shared dishes, weight MAE decreased by 33.8 g, with a paired interval of −48.9 to −19.7 g. The mean signed error improved from −75.1 to −25.2 g, and the median ratio increased from 0.679 to 0.940. These results support reduced weight underestimation on this shared subset, conditional on the observed responses.</w:t>
      </w:r>
    </w:p>
    <w:p>
      <w:r>
        <w:rPr>
          <w:color w:val="000000"/>
        </w:rPr>
        <w:t>Energy MAE instead changed from 126.9 to 131.8 kcal; its difference interval includes zero. Fat, carbohydrate and protein difference intervals also include zero. Weight improvement therefore did not translate into a consistent nutrient improvement. Different food decompositions or FNDDS densities are possible contributors, but their individual effects were not isolated.</w:t>
      </w:r>
    </w:p>
    <w:p>
      <w:r>
        <w:rPr>
          <w:color w:val="000000"/>
        </w:rPr>
        <w:t>For ASA24, the shared weight and energy MAE point estimates decreased, but both paired intervals include zero. With only 10 shared records and unchanged classification accuracy, the evidence for a stable portion-estimation improvement is limited.</w:t>
      </w:r>
    </w:p>
    <w:p>
      <w:pPr>
        <w:pStyle w:val="Heading1"/>
      </w:pPr>
      <w:r>
        <w:rPr>
          <w:color w:val="000000"/>
        </w:rPr>
        <w:t>4. Departures from the paper and released code</w:t>
      </w:r>
    </w:p>
    <w:p>
      <w:r>
        <w:rPr>
          <w:color w:val="000000"/>
        </w:rPr>
        <w:t xml:space="preserve">The main departures are summarized here; the item-by-item register remains in </w:t>
      </w:r>
      <w:hyperlink r:id="rId12">
        <w:r>
          <w:rPr>
            <w:color w:val="000000"/>
            <w:u w:val="single"/>
          </w:rPr>
          <w:t>CHECKLIST.md</w:t>
        </w:r>
      </w:hyperlink>
      <w:r>
        <w:rPr>
          <w:color w:val="000000"/>
        </w:rPr>
        <w:t xml:space="preserve">, with evidence and review decisions in </w:t>
      </w:r>
      <w:hyperlink r:id="rId13">
        <w:r>
          <w:rPr>
            <w:color w:val="000000"/>
            <w:u w:val="single"/>
          </w:rPr>
          <w:t>REVIEW.md</w:t>
        </w:r>
      </w:hyperlink>
      <w:r>
        <w:rPr>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613"/>
        <w:gridCol w:w="7099"/>
        <w:gridCol w:w="1570"/>
      </w:tblGrid>
      <w:tr>
        <w:trPr>
          <w:cantSplit/>
          <w:tblHeader/>
        </w:trPr>
        <w:tc>
          <w:tcPr>
            <w:tcW w:type="dxa" w:w="1613"/>
            <w:vAlign w:val="center"/>
            <w:shd w:fill="E5EAF0"/>
          </w:tcPr>
          <w:p>
            <w:pPr>
              <w:pStyle w:val="TableText"/>
              <w:keepNext/>
              <w:jc w:val="left"/>
            </w:pPr>
            <w:r>
              <w:rPr>
                <w:b/>
                <w:color w:val="000000"/>
                <w:sz w:val="18"/>
              </w:rPr>
              <w:t>Area</w:t>
            </w:r>
          </w:p>
        </w:tc>
        <w:tc>
          <w:tcPr>
            <w:tcW w:type="dxa" w:w="7099"/>
            <w:vAlign w:val="center"/>
            <w:shd w:fill="E5EAF0"/>
          </w:tcPr>
          <w:p>
            <w:pPr>
              <w:pStyle w:val="TableText"/>
              <w:keepNext/>
              <w:jc w:val="left"/>
            </w:pPr>
            <w:r>
              <w:rPr>
                <w:b/>
                <w:color w:val="000000"/>
                <w:sz w:val="18"/>
              </w:rPr>
              <w:t>Departure or reconstruction</w:t>
            </w:r>
          </w:p>
        </w:tc>
        <w:tc>
          <w:tcPr>
            <w:tcW w:type="dxa" w:w="1570"/>
            <w:vAlign w:val="center"/>
            <w:shd w:fill="E5EAF0"/>
          </w:tcPr>
          <w:p>
            <w:pPr>
              <w:pStyle w:val="TableText"/>
              <w:keepNext/>
              <w:jc w:val="left"/>
            </w:pPr>
            <w:r>
              <w:rPr>
                <w:b/>
                <w:color w:val="000000"/>
                <w:sz w:val="18"/>
              </w:rPr>
              <w:t>Register</w:t>
            </w:r>
          </w:p>
        </w:tc>
      </w:tr>
      <w:tr>
        <w:trPr>
          <w:cantSplit/>
        </w:trPr>
        <w:tc>
          <w:tcPr>
            <w:tcW w:type="dxa" w:w="1613"/>
            <w:vAlign w:val="center"/>
            <w:shd w:fill="FFFFFF"/>
          </w:tcPr>
          <w:p>
            <w:pPr>
              <w:pStyle w:val="TableText"/>
              <w:keepNext w:val="0"/>
              <w:jc w:val="left"/>
            </w:pPr>
            <w:r>
              <w:rPr>
                <w:color w:val="000000"/>
                <w:sz w:val="18"/>
              </w:rPr>
              <w:t>Model and API availability</w:t>
            </w:r>
          </w:p>
        </w:tc>
        <w:tc>
          <w:tcPr>
            <w:tcW w:type="dxa" w:w="7099"/>
            <w:vAlign w:val="center"/>
            <w:shd w:fill="FFFFFF"/>
          </w:tcPr>
          <w:p>
            <w:pPr>
              <w:pStyle w:val="TableText"/>
              <w:keepNext w:val="0"/>
              <w:jc w:val="left"/>
            </w:pPr>
            <w:r>
              <w:rPr>
                <w:color w:val="000000"/>
                <w:sz w:val="18"/>
              </w:rPr>
              <w:t>Unavailable GPT-4 Turbo models were replaced with GPT-4o, then compared with Sol; Azure clients were replaced with the official OpenAI interface. Supported settings differ as documented in Section 1.3.</w:t>
            </w:r>
          </w:p>
        </w:tc>
        <w:tc>
          <w:tcPr>
            <w:tcW w:type="dxa" w:w="1570"/>
            <w:vAlign w:val="center"/>
            <w:shd w:fill="FFFFFF"/>
          </w:tcPr>
          <w:p>
            <w:pPr>
              <w:pStyle w:val="TableText"/>
              <w:keepNext w:val="0"/>
              <w:jc w:val="left"/>
            </w:pPr>
            <w:r>
              <w:rPr>
                <w:color w:val="000000"/>
                <w:sz w:val="18"/>
              </w:rPr>
              <w:t>A2–A4, F1–F3</w:t>
            </w:r>
          </w:p>
        </w:tc>
      </w:tr>
      <w:tr>
        <w:trPr>
          <w:cantSplit/>
        </w:trPr>
        <w:tc>
          <w:tcPr>
            <w:tcW w:type="dxa" w:w="1613"/>
            <w:vAlign w:val="center"/>
            <w:shd w:fill="F6F7F9"/>
          </w:tcPr>
          <w:p>
            <w:pPr>
              <w:pStyle w:val="TableText"/>
              <w:keepNext w:val="0"/>
              <w:jc w:val="left"/>
            </w:pPr>
            <w:r>
              <w:rPr>
                <w:color w:val="000000"/>
                <w:sz w:val="18"/>
              </w:rPr>
              <w:t>Conflicts resolved using the paper</w:t>
            </w:r>
          </w:p>
        </w:tc>
        <w:tc>
          <w:tcPr>
            <w:tcW w:type="dxa" w:w="7099"/>
            <w:vAlign w:val="center"/>
            <w:shd w:fill="F6F7F9"/>
          </w:tcPr>
          <w:p>
            <w:pPr>
              <w:pStyle w:val="TableText"/>
              <w:keepNext w:val="0"/>
              <w:jc w:val="left"/>
            </w:pPr>
            <w:r>
              <w:rPr>
                <w:color w:val="000000"/>
                <w:sz w:val="18"/>
              </w:rPr>
              <w:t>Independent image requests, 256 × 256 preprocessing, a persisted index, description-only retrieval, and image-assisted code selection were restored or implemented.</w:t>
            </w:r>
          </w:p>
        </w:tc>
        <w:tc>
          <w:tcPr>
            <w:tcW w:type="dxa" w:w="1570"/>
            <w:vAlign w:val="center"/>
            <w:shd w:fill="F6F7F9"/>
          </w:tcPr>
          <w:p>
            <w:pPr>
              <w:pStyle w:val="TableText"/>
              <w:keepNext w:val="0"/>
              <w:jc w:val="left"/>
            </w:pPr>
            <w:r>
              <w:rPr>
                <w:color w:val="000000"/>
                <w:sz w:val="18"/>
              </w:rPr>
              <w:t>A5, B6, C1, C3–C4</w:t>
            </w:r>
          </w:p>
        </w:tc>
      </w:tr>
      <w:tr>
        <w:trPr>
          <w:cantSplit/>
        </w:trPr>
        <w:tc>
          <w:tcPr>
            <w:tcW w:type="dxa" w:w="1613"/>
            <w:vAlign w:val="center"/>
            <w:shd w:fill="FFFFFF"/>
          </w:tcPr>
          <w:p>
            <w:pPr>
              <w:pStyle w:val="TableText"/>
              <w:keepNext w:val="0"/>
              <w:jc w:val="left"/>
            </w:pPr>
            <w:r>
              <w:rPr>
                <w:color w:val="000000"/>
                <w:sz w:val="18"/>
              </w:rPr>
              <w:t>Missing data preparation</w:t>
            </w:r>
          </w:p>
        </w:tc>
        <w:tc>
          <w:tcPr>
            <w:tcW w:type="dxa" w:w="7099"/>
            <w:vAlign w:val="center"/>
            <w:shd w:fill="FFFFFF"/>
          </w:tcPr>
          <w:p>
            <w:pPr>
              <w:pStyle w:val="TableText"/>
              <w:keepNext w:val="0"/>
              <w:jc w:val="left"/>
            </w:pPr>
            <w:r>
              <w:rPr>
                <w:color w:val="000000"/>
                <w:sz w:val="18"/>
              </w:rPr>
              <w:t>ASA24 labels and exact portion mappings, FoodWeights with 22,710 portions, and Nutrition5k sampling were reconstructed. Unmapped ASA24 portions were excluded rather than inferred; portion code 98 uses the metadata multiplier in grams. Missing Nutrition5k nutrient labels were excluded.</w:t>
            </w:r>
          </w:p>
        </w:tc>
        <w:tc>
          <w:tcPr>
            <w:tcW w:type="dxa" w:w="1570"/>
            <w:vAlign w:val="center"/>
            <w:shd w:fill="FFFFFF"/>
          </w:tcPr>
          <w:p>
            <w:pPr>
              <w:pStyle w:val="TableText"/>
              <w:keepNext w:val="0"/>
              <w:jc w:val="left"/>
            </w:pPr>
            <w:r>
              <w:rPr>
                <w:color w:val="000000"/>
                <w:sz w:val="18"/>
              </w:rPr>
              <w:t>B2, B4–B5</w:t>
            </w:r>
          </w:p>
        </w:tc>
      </w:tr>
      <w:tr>
        <w:trPr>
          <w:cantSplit/>
        </w:trPr>
        <w:tc>
          <w:tcPr>
            <w:tcW w:type="dxa" w:w="1613"/>
            <w:vAlign w:val="center"/>
            <w:shd w:fill="F6F7F9"/>
          </w:tcPr>
          <w:p>
            <w:pPr>
              <w:pStyle w:val="TableText"/>
              <w:keepNext w:val="0"/>
              <w:jc w:val="left"/>
            </w:pPr>
            <w:r>
              <w:rPr>
                <w:color w:val="000000"/>
                <w:sz w:val="18"/>
              </w:rPr>
              <w:t>Missing inference and evaluation</w:t>
            </w:r>
          </w:p>
        </w:tc>
        <w:tc>
          <w:tcPr>
            <w:tcW w:type="dxa" w:w="7099"/>
            <w:vAlign w:val="center"/>
            <w:shd w:fill="F6F7F9"/>
          </w:tcPr>
          <w:p>
            <w:pPr>
              <w:pStyle w:val="TableText"/>
              <w:keepNext w:val="0"/>
              <w:jc w:val="left"/>
            </w:pPr>
            <w:r>
              <w:rPr>
                <w:color w:val="000000"/>
                <w:sz w:val="18"/>
              </w:rPr>
              <w:t>Portion text was mapped to codes and multiplied quantities; Nutrition5k code/gram prompts and evaluation were reconstructed. ASA24 conditional inclusion and cumulative matching levels are documented interpretations of the code and paper.</w:t>
            </w:r>
          </w:p>
        </w:tc>
        <w:tc>
          <w:tcPr>
            <w:tcW w:type="dxa" w:w="1570"/>
            <w:vAlign w:val="center"/>
            <w:shd w:fill="F6F7F9"/>
          </w:tcPr>
          <w:p>
            <w:pPr>
              <w:pStyle w:val="TableText"/>
              <w:keepNext w:val="0"/>
              <w:jc w:val="left"/>
            </w:pPr>
            <w:r>
              <w:rPr>
                <w:color w:val="000000"/>
                <w:sz w:val="18"/>
              </w:rPr>
              <w:t>C6, C8, D1–D7</w:t>
            </w:r>
          </w:p>
        </w:tc>
      </w:tr>
      <w:tr>
        <w:trPr>
          <w:cantSplit/>
        </w:trPr>
        <w:tc>
          <w:tcPr>
            <w:tcW w:type="dxa" w:w="1613"/>
            <w:vAlign w:val="center"/>
            <w:shd w:fill="FFFFFF"/>
          </w:tcPr>
          <w:p>
            <w:pPr>
              <w:pStyle w:val="TableText"/>
              <w:keepNext w:val="0"/>
              <w:jc w:val="left"/>
            </w:pPr>
            <w:r>
              <w:rPr>
                <w:color w:val="000000"/>
                <w:sz w:val="18"/>
              </w:rPr>
              <w:t>Correctness repairs</w:t>
            </w:r>
          </w:p>
        </w:tc>
        <w:tc>
          <w:tcPr>
            <w:tcW w:type="dxa" w:w="7099"/>
            <w:vAlign w:val="center"/>
            <w:shd w:fill="FFFFFF"/>
          </w:tcPr>
          <w:p>
            <w:pPr>
              <w:pStyle w:val="TableText"/>
              <w:keepNext w:val="0"/>
              <w:jc w:val="left"/>
            </w:pPr>
            <w:r>
              <w:rPr>
                <w:color w:val="000000"/>
                <w:sz w:val="18"/>
              </w:rPr>
              <w:t>Numeric parsing, rate-limit backoff, continuation skipping and missing-value handling were repaired. Invalid food codes and absent gram estimates remain failures rather than valid zero totals.</w:t>
            </w:r>
          </w:p>
        </w:tc>
        <w:tc>
          <w:tcPr>
            <w:tcW w:type="dxa" w:w="1570"/>
            <w:vAlign w:val="center"/>
            <w:shd w:fill="FFFFFF"/>
          </w:tcPr>
          <w:p>
            <w:pPr>
              <w:pStyle w:val="TableText"/>
              <w:keepNext w:val="0"/>
              <w:jc w:val="left"/>
            </w:pPr>
            <w:r>
              <w:rPr>
                <w:color w:val="000000"/>
                <w:sz w:val="18"/>
              </w:rPr>
              <w:t>C5–C6, C8–C9, D7</w:t>
            </w:r>
          </w:p>
        </w:tc>
      </w:tr>
      <w:tr>
        <w:trPr>
          <w:cantSplit/>
        </w:trPr>
        <w:tc>
          <w:tcPr>
            <w:tcW w:type="dxa" w:w="1613"/>
            <w:vAlign w:val="center"/>
            <w:shd w:fill="F6F7F9"/>
          </w:tcPr>
          <w:p>
            <w:pPr>
              <w:pStyle w:val="TableText"/>
              <w:keepNext w:val="0"/>
              <w:jc w:val="left"/>
            </w:pPr>
            <w:r>
              <w:rPr>
                <w:color w:val="000000"/>
                <w:sz w:val="18"/>
              </w:rPr>
              <w:t>Food-list parsing</w:t>
            </w:r>
          </w:p>
        </w:tc>
        <w:tc>
          <w:tcPr>
            <w:tcW w:type="dxa" w:w="7099"/>
            <w:vAlign w:val="center"/>
            <w:shd w:fill="F6F7F9"/>
          </w:tcPr>
          <w:p>
            <w:pPr>
              <w:pStyle w:val="TableText"/>
              <w:keepNext w:val="0"/>
              <w:jc w:val="left"/>
            </w:pPr>
            <w:r>
              <w:rPr>
                <w:color w:val="000000"/>
                <w:sz w:val="18"/>
              </w:rPr>
              <w:t>Shared parsing preserves punctuation in names, removes list preambles, merges duplicate names and retains items without valid codes as failures. This changes item counts, failure denominators and complete-dish membership relative to the released parser.</w:t>
            </w:r>
          </w:p>
        </w:tc>
        <w:tc>
          <w:tcPr>
            <w:tcW w:type="dxa" w:w="1570"/>
            <w:vAlign w:val="center"/>
            <w:shd w:fill="F6F7F9"/>
          </w:tcPr>
          <w:p>
            <w:pPr>
              <w:pStyle w:val="TableText"/>
              <w:keepNext w:val="0"/>
              <w:jc w:val="left"/>
            </w:pPr>
            <w:r>
              <w:rPr>
                <w:color w:val="000000"/>
                <w:sz w:val="18"/>
              </w:rPr>
              <w:t>C8, R-C8-1</w:t>
            </w:r>
          </w:p>
        </w:tc>
      </w:tr>
      <w:tr>
        <w:trPr>
          <w:cantSplit/>
        </w:trPr>
        <w:tc>
          <w:tcPr>
            <w:tcW w:type="dxa" w:w="1613"/>
            <w:vAlign w:val="center"/>
            <w:shd w:fill="FFFFFF"/>
          </w:tcPr>
          <w:p>
            <w:pPr>
              <w:pStyle w:val="TableText"/>
              <w:keepNext w:val="0"/>
              <w:jc w:val="left"/>
            </w:pPr>
            <w:r>
              <w:rPr>
                <w:color w:val="000000"/>
                <w:sz w:val="18"/>
              </w:rPr>
              <w:t>Retries and retained behavior</w:t>
            </w:r>
          </w:p>
        </w:tc>
        <w:tc>
          <w:tcPr>
            <w:tcW w:type="dxa" w:w="7099"/>
            <w:vAlign w:val="center"/>
            <w:shd w:fill="FFFFFF"/>
          </w:tcPr>
          <w:p>
            <w:pPr>
              <w:pStyle w:val="TableText"/>
              <w:keepNext w:val="0"/>
              <w:jc w:val="left"/>
            </w:pPr>
            <w:r>
              <w:rPr>
                <w:color w:val="000000"/>
                <w:sz w:val="18"/>
              </w:rPr>
              <w:t>The released code's limit of five semantic passes was retained; the SDK retry limit was raised from two to six, with four images processed concurrently. Generated blank lines can still trigger empty retrieval queries. Semantic passes remain ambiguous relative to the paper's once-per-image statement.</w:t>
            </w:r>
          </w:p>
        </w:tc>
        <w:tc>
          <w:tcPr>
            <w:tcW w:type="dxa" w:w="1570"/>
            <w:vAlign w:val="center"/>
            <w:shd w:fill="FFFFFF"/>
          </w:tcPr>
          <w:p>
            <w:pPr>
              <w:pStyle w:val="TableText"/>
              <w:keepNext w:val="0"/>
              <w:jc w:val="left"/>
            </w:pPr>
            <w:r>
              <w:rPr>
                <w:color w:val="000000"/>
                <w:sz w:val="18"/>
              </w:rPr>
              <w:t>C3, C9, E4</w:t>
            </w:r>
          </w:p>
        </w:tc>
      </w:tr>
    </w:tbl>
    <w:p>
      <w:pPr>
        <w:keepNext w:val="0"/>
        <w:spacing w:after="40" w:before="0" w:line="40" w:lineRule="exact"/>
      </w:pPr>
      <w:r>
        <w:rPr>
          <w:sz w:val="4"/>
        </w:rPr>
      </w:r>
    </w:p>
    <w:p>
      <w:r>
        <w:rPr>
          <w:color w:val="000000"/>
        </w:rPr>
        <w:t xml:space="preserve">Three adaptations were approved from development evidence before the GPT-4o test: remove the refusal opt-out sentence from description/portion prompts, request a best estimate in grams for Nutrition5k, and parse the full gram response rather than only its first paragraph. Early development responses showed widespread refusals and estimates placed after disclaimers. </w:t>
      </w:r>
      <w:r>
        <w:rPr>
          <w:b/>
          <w:color w:val="000000"/>
        </w:rPr>
        <w:t>All three adaptations were held fixed for the Sol comparison.</w:t>
      </w:r>
      <w:r>
        <w:rPr>
          <w:color w:val="000000"/>
        </w:rPr>
        <w:t xml:space="preserve"> The broader food-list repair above is a separate change, not one of these three adaptations.</w:t>
      </w:r>
    </w:p>
    <w:p>
      <w:r>
        <w:rPr>
          <w:color w:val="000000"/>
        </w:rPr>
        <w:t>The study does not reproduce commercial or direct-vision baselines, food-subclass results, all 65 nutrients, or dietitian ratings. The scope is the two datasets and five main targets reported here.</w:t>
      </w:r>
    </w:p>
    <w:p>
      <w:pPr>
        <w:pStyle w:val="Heading1"/>
      </w:pPr>
      <w:r>
        <w:rPr>
          <w:color w:val="000000"/>
        </w:rPr>
        <w:t>5. Interpretation and limitations</w:t>
      </w:r>
    </w:p>
    <w:p>
      <w:r>
        <w:rPr>
          <w:color w:val="000000"/>
        </w:rPr>
        <w:t>The primary GPT-4o reproduction ran the reconstructed pipeline but did not recover the paper's main MAEs. The supplementary comparison, motivated by the original model's unavailability, shows that replacement-model choice and supported settings can improve part of the weight error. Sol's own-subset Nutrition5k weight MAE is 69.4 g versus the paper's 45.1 g, while energy remains 124.6 kcal versus 68.2 kcal. ASA24's lower MAE point estimates accompany fewer Exact records and wide paired intervals.</w:t>
      </w:r>
    </w:p>
    <w:p>
      <w:r>
        <w:rPr>
          <w:color w:val="000000"/>
        </w:rPr>
        <w:t>The main limits are:</w:t>
      </w:r>
    </w:p>
    <w:p>
      <w:pPr>
        <w:pStyle w:val="ListBullet"/>
      </w:pPr>
      <w:r>
        <w:rPr>
          <w:b/>
          <w:color w:val="000000"/>
        </w:rPr>
        <w:t>Conditional coverage:</w:t>
      </w:r>
      <w:r>
        <w:rPr>
          <w:color w:val="000000"/>
        </w:rPr>
        <w:t xml:space="preserve"> MAE applies only to valid conditional estimates, not every test record. The shared subsets are also selected subsets of the full test samples. Sol completed 39 Nutrition5k dishes that GPT-4o did not, but failed to complete seven that GPT-4o did; comparing own subsets alone cannot separate this selection effect.</w:t>
      </w:r>
    </w:p>
    <w:p>
      <w:pPr>
        <w:pStyle w:val="ListBullet"/>
      </w:pPr>
      <w:r>
        <w:rPr>
          <w:b/>
          <w:color w:val="000000"/>
        </w:rPr>
        <w:t>Sample and label differences:</w:t>
      </w:r>
      <w:r>
        <w:rPr>
          <w:color w:val="000000"/>
        </w:rPr>
        <w:t xml:space="preserve"> ASA24 sampling is restricted to 284 eligible codes, and its photographs are often shared by several labels. Nutrition5k images all come from Cafe 1. The smaller samples and mapping exclusions differ from the paper's broader evaluation.</w:t>
      </w:r>
    </w:p>
    <w:p>
      <w:pPr>
        <w:pStyle w:val="ListBullet"/>
      </w:pPr>
      <w:r>
        <w:rPr>
          <w:b/>
          <w:color w:val="000000"/>
        </w:rPr>
        <w:t>Protocol interpretation:</w:t>
      </w:r>
      <w:r>
        <w:rPr>
          <w:color w:val="000000"/>
        </w:rPr>
        <w:t xml:space="preserve"> ASA24 reference-code conditioning follows the released code, while the paper does not explicitly give the MAE inclusion count. Cumulative matching levels and unit-based portion error are also documented interpretations. Prompt adaptations further limit exact equivalence to the published procedure.</w:t>
      </w:r>
    </w:p>
    <w:p>
      <w:pPr>
        <w:pStyle w:val="ListBullet"/>
      </w:pPr>
      <w:r>
        <w:rPr>
          <w:b/>
          <w:color w:val="000000"/>
        </w:rPr>
        <w:t>Response uncertainty:</w:t>
      </w:r>
      <w:r>
        <w:rPr>
          <w:color w:val="000000"/>
        </w:rPr>
        <w:t xml:space="preserve"> each configuration was tested once. Temperature 0 is not perfectly repeatable, and Sol uses temperature 1 with a larger reasoning-inclusive description budget. Bootstrap intervals reflect sampling under these fixed answers, not repeated model responses; cross-code photograph dependence may make ASA24 intervals too narrow.</w:t>
      </w:r>
    </w:p>
    <w:p>
      <w:r>
        <w:rPr>
          <w:color w:val="000000"/>
        </w:rPr>
        <w:t xml:space="preserve">The comparison supports a </w:t>
      </w:r>
      <w:r>
        <w:rPr>
          <w:b/>
          <w:color w:val="000000"/>
        </w:rPr>
        <w:t>partial reduction in weight underestimation</w:t>
      </w:r>
      <w:r>
        <w:rPr>
          <w:color w:val="000000"/>
        </w:rPr>
        <w:t>, without a corresponding improvement in exact identification or nutrient MAE. It cannot attribute the full reproduction gap to model capability, nor establish that the remaining gap must arise from sampling or protocol differences. Retrieval, food composition, nutrient mapping and sample/protocol effects remain unresolved contributors.</w:t>
      </w:r>
    </w:p>
    <w:p>
      <w:pPr>
        <w:pStyle w:val="Heading1"/>
      </w:pPr>
      <w:r>
        <w:rPr>
          <w:color w:val="000000"/>
        </w:rPr>
        <w:t>6. Records, cost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8" w:type="dxa"/>
          <w:right w:w="78" w:type="dxa"/>
        </w:tblCellMar>
      </w:tblPr>
      <w:tblGrid>
        <w:gridCol w:w="1411"/>
        <w:gridCol w:w="3528"/>
        <w:gridCol w:w="1656"/>
        <w:gridCol w:w="1829"/>
        <w:gridCol w:w="1858"/>
      </w:tblGrid>
      <w:tr>
        <w:trPr>
          <w:cantSplit/>
          <w:tblHeader/>
        </w:trPr>
        <w:tc>
          <w:tcPr>
            <w:tcW w:type="dxa" w:w="1411"/>
            <w:vAlign w:val="center"/>
            <w:shd w:fill="E5EAF0"/>
          </w:tcPr>
          <w:p>
            <w:pPr>
              <w:pStyle w:val="TableText"/>
              <w:keepNext/>
              <w:jc w:val="left"/>
            </w:pPr>
            <w:r>
              <w:rPr>
                <w:b/>
                <w:color w:val="000000"/>
                <w:sz w:val="18"/>
              </w:rPr>
              <w:t>Formal run</w:t>
            </w:r>
          </w:p>
        </w:tc>
        <w:tc>
          <w:tcPr>
            <w:tcW w:type="dxa" w:w="3528"/>
            <w:vAlign w:val="center"/>
            <w:shd w:fill="E5EAF0"/>
          </w:tcPr>
          <w:p>
            <w:pPr>
              <w:pStyle w:val="TableText"/>
              <w:keepNext/>
              <w:jc w:val="left"/>
            </w:pPr>
            <w:r>
              <w:rPr>
                <w:b/>
                <w:color w:val="000000"/>
                <w:sz w:val="18"/>
              </w:rPr>
              <w:t>Saved results</w:t>
            </w:r>
          </w:p>
        </w:tc>
        <w:tc>
          <w:tcPr>
            <w:tcW w:type="dxa" w:w="1656"/>
            <w:vAlign w:val="center"/>
            <w:shd w:fill="E5EAF0"/>
          </w:tcPr>
          <w:p>
            <w:pPr>
              <w:pStyle w:val="TableText"/>
              <w:keepNext/>
              <w:jc w:val="center"/>
            </w:pPr>
            <w:r>
              <w:rPr>
                <w:b/>
                <w:color w:val="000000"/>
                <w:sz w:val="18"/>
              </w:rPr>
              <w:t>API responses</w:t>
            </w:r>
          </w:p>
        </w:tc>
        <w:tc>
          <w:tcPr>
            <w:tcW w:type="dxa" w:w="1829"/>
            <w:vAlign w:val="center"/>
            <w:shd w:fill="E5EAF0"/>
          </w:tcPr>
          <w:p>
            <w:pPr>
              <w:pStyle w:val="TableText"/>
              <w:keepNext/>
              <w:jc w:val="center"/>
            </w:pPr>
            <w:r>
              <w:rPr>
                <w:b/>
                <w:color w:val="000000"/>
                <w:sz w:val="18"/>
              </w:rPr>
              <w:t>HTTP errors</w:t>
            </w:r>
          </w:p>
        </w:tc>
        <w:tc>
          <w:tcPr>
            <w:tcW w:type="dxa" w:w="1858"/>
            <w:vAlign w:val="center"/>
            <w:shd w:fill="E5EAF0"/>
          </w:tcPr>
          <w:p>
            <w:pPr>
              <w:pStyle w:val="TableText"/>
              <w:keepNext/>
              <w:jc w:val="center"/>
            </w:pPr>
            <w:r>
              <w:rPr>
                <w:b/>
                <w:color w:val="000000"/>
                <w:sz w:val="18"/>
              </w:rPr>
              <w:t>Estimated cost</w:t>
            </w:r>
          </w:p>
        </w:tc>
      </w:tr>
      <w:tr>
        <w:trPr>
          <w:cantSplit/>
        </w:trPr>
        <w:tc>
          <w:tcPr>
            <w:tcW w:type="dxa" w:w="1411"/>
            <w:vAlign w:val="center"/>
            <w:shd w:fill="FFFFFF"/>
          </w:tcPr>
          <w:p>
            <w:pPr>
              <w:pStyle w:val="TableText"/>
              <w:keepNext/>
              <w:jc w:val="left"/>
            </w:pPr>
            <w:r>
              <w:rPr>
                <w:color w:val="000000"/>
                <w:sz w:val="18"/>
              </w:rPr>
              <w:t>GPT-4o</w:t>
            </w:r>
          </w:p>
        </w:tc>
        <w:tc>
          <w:tcPr>
            <w:tcW w:type="dxa" w:w="3528"/>
            <w:vAlign w:val="center"/>
            <w:shd w:fill="FFFFFF"/>
          </w:tcPr>
          <w:p>
            <w:pPr>
              <w:pStyle w:val="TableText"/>
              <w:keepNext/>
              <w:jc w:val="left"/>
            </w:pPr>
            <w:r>
              <w:rPr>
                <w:rFonts w:ascii="Liberation Mono" w:hAnsi="Liberation Mono"/>
                <w:color w:val="000000"/>
                <w:sz w:val="18"/>
              </w:rPr>
              <w:t>runs/test/</w:t>
            </w:r>
          </w:p>
        </w:tc>
        <w:tc>
          <w:tcPr>
            <w:tcW w:type="dxa" w:w="1656"/>
            <w:vAlign w:val="center"/>
            <w:shd w:fill="FFFFFF"/>
          </w:tcPr>
          <w:p>
            <w:pPr>
              <w:pStyle w:val="TableText"/>
              <w:keepNext/>
              <w:jc w:val="center"/>
            </w:pPr>
            <w:r>
              <w:rPr>
                <w:color w:val="000000"/>
                <w:sz w:val="18"/>
              </w:rPr>
              <w:t>8,867</w:t>
            </w:r>
          </w:p>
        </w:tc>
        <w:tc>
          <w:tcPr>
            <w:tcW w:type="dxa" w:w="1829"/>
            <w:vAlign w:val="center"/>
            <w:shd w:fill="FFFFFF"/>
          </w:tcPr>
          <w:p>
            <w:pPr>
              <w:pStyle w:val="TableText"/>
              <w:keepNext/>
              <w:jc w:val="center"/>
            </w:pPr>
            <w:r>
              <w:rPr>
                <w:color w:val="000000"/>
                <w:sz w:val="18"/>
              </w:rPr>
              <w:t>0</w:t>
            </w:r>
          </w:p>
        </w:tc>
        <w:tc>
          <w:tcPr>
            <w:tcW w:type="dxa" w:w="1858"/>
            <w:vAlign w:val="center"/>
            <w:shd w:fill="FFFFFF"/>
          </w:tcPr>
          <w:p>
            <w:pPr>
              <w:pStyle w:val="TableText"/>
              <w:keepNext/>
              <w:jc w:val="center"/>
            </w:pPr>
            <w:r>
              <w:rPr>
                <w:color w:val="000000"/>
                <w:sz w:val="18"/>
              </w:rPr>
              <w:t>$5.28</w:t>
            </w:r>
          </w:p>
        </w:tc>
      </w:tr>
      <w:tr>
        <w:trPr>
          <w:cantSplit/>
        </w:trPr>
        <w:tc>
          <w:tcPr>
            <w:tcW w:type="dxa" w:w="1411"/>
            <w:vAlign w:val="center"/>
            <w:shd w:fill="F6F7F9"/>
          </w:tcPr>
          <w:p>
            <w:pPr>
              <w:pStyle w:val="TableText"/>
              <w:keepNext w:val="0"/>
              <w:jc w:val="left"/>
            </w:pPr>
            <w:r>
              <w:rPr>
                <w:color w:val="000000"/>
                <w:sz w:val="18"/>
              </w:rPr>
              <w:t>Sol</w:t>
            </w:r>
          </w:p>
        </w:tc>
        <w:tc>
          <w:tcPr>
            <w:tcW w:type="dxa" w:w="3528"/>
            <w:vAlign w:val="center"/>
            <w:shd w:fill="F6F7F9"/>
          </w:tcPr>
          <w:p>
            <w:pPr>
              <w:pStyle w:val="TableText"/>
              <w:keepNext w:val="0"/>
              <w:jc w:val="left"/>
            </w:pPr>
            <w:r>
              <w:rPr>
                <w:rFonts w:ascii="Liberation Mono" w:hAnsi="Liberation Mono"/>
                <w:color w:val="000000"/>
                <w:sz w:val="18"/>
              </w:rPr>
              <w:t>runs/test-gpt-6.1-sol/</w:t>
            </w:r>
          </w:p>
        </w:tc>
        <w:tc>
          <w:tcPr>
            <w:tcW w:type="dxa" w:w="1656"/>
            <w:vAlign w:val="center"/>
            <w:shd w:fill="F6F7F9"/>
          </w:tcPr>
          <w:p>
            <w:pPr>
              <w:pStyle w:val="TableText"/>
              <w:keepNext w:val="0"/>
              <w:jc w:val="center"/>
            </w:pPr>
            <w:r>
              <w:rPr>
                <w:color w:val="000000"/>
                <w:sz w:val="18"/>
              </w:rPr>
              <w:t>3,234</w:t>
            </w:r>
          </w:p>
        </w:tc>
        <w:tc>
          <w:tcPr>
            <w:tcW w:type="dxa" w:w="1829"/>
            <w:vAlign w:val="center"/>
            <w:shd w:fill="F6F7F9"/>
          </w:tcPr>
          <w:p>
            <w:pPr>
              <w:pStyle w:val="TableText"/>
              <w:keepNext w:val="0"/>
              <w:jc w:val="center"/>
            </w:pPr>
            <w:r>
              <w:rPr>
                <w:color w:val="000000"/>
                <w:sz w:val="18"/>
              </w:rPr>
              <w:t>1</w:t>
            </w:r>
          </w:p>
        </w:tc>
        <w:tc>
          <w:tcPr>
            <w:tcW w:type="dxa" w:w="1858"/>
            <w:vAlign w:val="center"/>
            <w:shd w:fill="F6F7F9"/>
          </w:tcPr>
          <w:p>
            <w:pPr>
              <w:pStyle w:val="TableText"/>
              <w:keepNext w:val="0"/>
              <w:jc w:val="center"/>
            </w:pPr>
            <w:r>
              <w:rPr>
                <w:color w:val="000000"/>
                <w:sz w:val="18"/>
              </w:rPr>
              <w:t>$2.30</w:t>
            </w:r>
          </w:p>
        </w:tc>
      </w:tr>
    </w:tbl>
    <w:p>
      <w:pPr>
        <w:keepNext w:val="0"/>
        <w:spacing w:after="40" w:before="0" w:line="40" w:lineRule="exact"/>
      </w:pPr>
      <w:r>
        <w:rPr>
          <w:sz w:val="4"/>
        </w:rPr>
      </w:r>
    </w:p>
    <w:p>
      <w:r>
        <w:rPr>
          <w:color w:val="000000"/>
        </w:rPr>
        <w:t xml:space="preserve">Each configuration has one completed formal invocation. Semantic code-generation attempts totaled 309/295 for ASA24/Nutrition5k with GPT-4o and 155/152 with Sol; these are distinct from SDK retries of an individual request. Inference commits were </w:t>
      </w:r>
      <w:r>
        <w:rPr>
          <w:rFonts w:ascii="Liberation Mono" w:hAnsi="Liberation Mono"/>
          <w:color w:val="000000"/>
          <w:sz w:val="18"/>
        </w:rPr>
        <w:t>ea3c08b</w:t>
      </w:r>
      <w:r>
        <w:rPr>
          <w:color w:val="000000"/>
        </w:rPr>
        <w:t xml:space="preserve"> and </w:t>
      </w:r>
      <w:r>
        <w:rPr>
          <w:rFonts w:ascii="Liberation Mono" w:hAnsi="Liberation Mono"/>
          <w:color w:val="000000"/>
          <w:sz w:val="18"/>
        </w:rPr>
        <w:t>fbe5157</w:t>
      </w:r>
      <w:r>
        <w:rPr>
          <w:color w:val="000000"/>
        </w:rPr>
        <w:t>, respectively. Configuration files retain input/source fingerprints, request parameters, actual served model names and step-level usage.</w:t>
      </w:r>
    </w:p>
    <w:p>
      <w:r>
        <w:rPr>
          <w:color w:val="000000"/>
        </w:rPr>
        <w:t xml:space="preserve">Sol's one HTTP 500 was retried by the retained SDK logic, and the formal run completed. All 1,391 successful chat responses ended normally with nonempty content. Ledger and metric reconciliation passed, while </w:t>
      </w:r>
      <w:r>
        <w:rPr>
          <w:rFonts w:ascii="Liberation Mono" w:hAnsi="Liberation Mono"/>
          <w:color w:val="000000"/>
          <w:sz w:val="18"/>
        </w:rPr>
        <w:t>validation.json</w:t>
      </w:r>
      <w:r>
        <w:rPr>
          <w:color w:val="000000"/>
        </w:rPr>
        <w:t xml:space="preserve"> deliberately retains </w:t>
      </w:r>
      <w:r>
        <w:rPr>
          <w:rFonts w:ascii="Liberation Mono" w:hAnsi="Liberation Mono"/>
          <w:color w:val="000000"/>
          <w:sz w:val="18"/>
        </w:rPr>
        <w:t>response_health=needs review</w:t>
      </w:r>
      <w:r>
        <w:rPr>
          <w:color w:val="000000"/>
        </w:rPr>
        <w:t xml:space="preserve"> and the overall warning for that historical error. The corresponding audit command returns nonzero; the warning was accepted in review and was not rewritten as PASS.</w:t>
      </w:r>
    </w:p>
    <w:p>
      <w:r>
        <w:rPr>
          <w:color w:val="000000"/>
        </w:rPr>
        <w:t xml:space="preserve">Costs are estimates from returned token usage and recorded prices, not invoice totals. Sol cost $2.29594796, including 64,977 reasoning tokens within 124,310 completion tokens, without double charging. The project total, including index construction, development and both formal tests, is </w:t>
      </w:r>
      <w:r>
        <w:rPr>
          <w:b/>
          <w:color w:val="000000"/>
        </w:rPr>
        <w:t>$9.00796341</w:t>
      </w:r>
      <w:r>
        <w:rPr>
          <w:color w:val="000000"/>
        </w:rPr>
        <w:t>, within the $20 limit. Run records preserve the prices used; the Sol records also include the official pricing source and verification date.</w:t>
      </w:r>
    </w:p>
    <w:p>
      <w:r>
        <w:rPr>
          <w:color w:val="000000"/>
        </w:rPr>
        <w:t>Implementation and numerical results passed two independent review checkpoints and 121 offline tests. Full evidence is available in:</w:t>
      </w:r>
    </w:p>
    <w:p>
      <w:pPr>
        <w:pStyle w:val="ListBullet"/>
      </w:pPr>
      <w:hyperlink r:id="rId14">
        <w:r>
          <w:rPr>
            <w:color w:val="000000"/>
            <w:u w:val="single"/>
          </w:rPr>
          <w:t>Primary metrics</w:t>
        </w:r>
      </w:hyperlink>
      <w:r>
        <w:rPr>
          <w:color w:val="000000"/>
        </w:rPr>
        <w:t xml:space="preserve"> and </w:t>
      </w:r>
      <w:hyperlink r:id="rId15">
        <w:r>
          <w:rPr>
            <w:color w:val="000000"/>
            <w:u w:val="single"/>
          </w:rPr>
          <w:t>primary diagnostics</w:t>
        </w:r>
      </w:hyperlink>
      <w:r>
        <w:rPr>
          <w:color w:val="000000"/>
        </w:rPr>
        <w:t>.</w:t>
      </w:r>
    </w:p>
    <w:p>
      <w:pPr>
        <w:pStyle w:val="ListBullet"/>
      </w:pPr>
      <w:hyperlink r:id="rId16">
        <w:r>
          <w:rPr>
            <w:color w:val="000000"/>
            <w:u w:val="single"/>
          </w:rPr>
          <w:t>Sol metrics</w:t>
        </w:r>
      </w:hyperlink>
      <w:r>
        <w:rPr>
          <w:color w:val="000000"/>
        </w:rPr>
        <w:t xml:space="preserve">, </w:t>
      </w:r>
      <w:hyperlink r:id="rId17">
        <w:r>
          <w:rPr>
            <w:color w:val="000000"/>
            <w:u w:val="single"/>
          </w:rPr>
          <w:t>diagnostics</w:t>
        </w:r>
      </w:hyperlink>
      <w:r>
        <w:rPr>
          <w:color w:val="000000"/>
        </w:rPr>
        <w:t xml:space="preserve"> and </w:t>
      </w:r>
      <w:hyperlink r:id="rId18">
        <w:r>
          <w:rPr>
            <w:color w:val="000000"/>
            <w:u w:val="single"/>
          </w:rPr>
          <w:t>validation record</w:t>
        </w:r>
      </w:hyperlink>
      <w:r>
        <w:rPr>
          <w:color w:val="000000"/>
        </w:rPr>
        <w:t>.</w:t>
      </w:r>
    </w:p>
    <w:p>
      <w:pPr>
        <w:pStyle w:val="ListBullet"/>
      </w:pPr>
      <w:hyperlink r:id="rId19">
        <w:r>
          <w:rPr>
            <w:color w:val="000000"/>
            <w:u w:val="single"/>
          </w:rPr>
          <w:t>Full model comparison</w:t>
        </w:r>
      </w:hyperlink>
      <w:r>
        <w:rPr>
          <w:color w:val="000000"/>
        </w:rPr>
        <w:t>, including all own/shared estimates, paired intervals, sample keys and excluded bootstrap counts.</w:t>
      </w:r>
    </w:p>
    <w:p>
      <w:pPr>
        <w:pStyle w:val="ListBullet"/>
      </w:pPr>
      <w:hyperlink r:id="rId12">
        <w:r>
          <w:rPr>
            <w:color w:val="000000"/>
            <w:u w:val="single"/>
          </w:rPr>
          <w:t>CHECKLIST.md</w:t>
        </w:r>
      </w:hyperlink>
      <w:r>
        <w:rPr>
          <w:color w:val="000000"/>
        </w:rPr>
        <w:t xml:space="preserve"> and </w:t>
      </w:r>
      <w:hyperlink r:id="rId13">
        <w:r>
          <w:rPr>
            <w:color w:val="000000"/>
            <w:u w:val="single"/>
          </w:rPr>
          <w:t>REVIEW.md</w:t>
        </w:r>
      </w:hyperlink>
      <w:r>
        <w:rPr>
          <w:color w:val="000000"/>
        </w:rPr>
        <w:t xml:space="preserve"> for implementation decisions, source references and review history; </w:t>
      </w:r>
      <w:r>
        <w:rPr>
          <w:rFonts w:ascii="Liberation Mono" w:hAnsi="Liberation Mono"/>
          <w:color w:val="000000"/>
          <w:sz w:val="18"/>
        </w:rPr>
        <w:t>samples/</w:t>
      </w:r>
      <w:r>
        <w:rPr>
          <w:color w:val="000000"/>
        </w:rPr>
        <w:t xml:space="preserve"> and </w:t>
      </w:r>
      <w:r>
        <w:rPr>
          <w:rFonts w:ascii="Liberation Mono" w:hAnsi="Liberation Mono"/>
          <w:color w:val="000000"/>
          <w:sz w:val="18"/>
        </w:rPr>
        <w:t>paper/supplementary/SOURCES.md</w:t>
      </w:r>
      <w:r>
        <w:rPr>
          <w:color w:val="000000"/>
        </w:rPr>
        <w:t xml:space="preserve"> for data provenance.</w:t>
      </w:r>
    </w:p>
    <w:p>
      <w:r>
        <w:rPr>
          <w:color w:val="000000"/>
        </w:rPr>
        <w:t>Offline comparison and Exact diagnostics can be reproduced from the repository root:</w:t>
      </w:r>
    </w:p>
    <w:p>
      <w:pPr>
        <w:pStyle w:val="CodeBlock"/>
        <w:keepNext/>
      </w:pPr>
      <w:r>
        <w:t>python code/compare_models.py --baseline runs/test --comparison runs/test-gpt-6.1-sol --output runs/comparison-gpt-4o-vs-sol</w:t>
      </w:r>
    </w:p>
    <w:p>
      <w:pPr>
        <w:pStyle w:val="CodeBlock"/>
        <w:keepNext w:val="0"/>
      </w:pPr>
      <w:r>
        <w:t>python runs/test/diagnostics/exact_misses.py --run-dir runs/test-gpt-6.1-sol</w:t>
      </w:r>
    </w:p>
    <w:p>
      <w:r>
        <w:rPr>
          <w:color w:val="000000"/>
        </w:rPr>
        <w:t>The preserved force-terminated development run was not resumed. Forced termination can prevent the driver from archiving its current step; future recovery requires reconciliation with the global API log. Both formal runs completed normally. No test results were used to alter prompts, parsing, inference settings or evaluation after their respective configurations were frozen.</w:t>
      </w:r>
    </w:p>
    <w:sectPr w:rsidR="00FC693F" w:rsidRPr="0006063C" w:rsidSect="00034616">
      <w:headerReference w:type="default" r:id="rId9"/>
      <w:footerReference w:type="default" r:id="rId10"/>
      <w:pgSz w:w="12240" w:h="15840"/>
      <w:pgMar w:top="979" w:right="979" w:bottom="979"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000000"/>
        <w:sz w:val="16"/>
      </w:rPr>
      <w:t>DietAI24 Reproduction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Noto Serif" w:hAnsi="Noto Serif" w:eastAsia="Noto Serif" w:cs="Noto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eastAsia="Noto Sans" w:cs="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w:hAnsi="Noto Sans" w:eastAsia="Noto Sans" w:cs="Noto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heme="majorHAnsi" w:eastAsiaTheme="majorEastAsia" w:hAnsiTheme="majorHAnsi" w:cstheme="majorBidi" w:ascii="Noto Sans" w:hAnsi="Noto Sans" w:eastAsia="Noto Sans" w:cs="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9" w:lineRule="auto"/>
      <w:contextualSpacing/>
    </w:pPr>
    <w:rPr>
      <w:rFonts w:ascii="Noto Serif" w:hAnsi="Noto Serif" w:eastAsia="Noto Serif" w:cs="Noto Serif"/>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9" w:lineRule="auto"/>
      <w:contextualSpacing/>
    </w:pPr>
    <w:rPr>
      <w:rFonts w:ascii="Noto Serif" w:hAnsi="Noto Serif" w:eastAsia="Noto Serif" w:cs="Noto Serif"/>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2" w:lineRule="auto" w:after="60" w:before="60"/>
    </w:pPr>
    <w:rPr>
      <w:rFonts w:ascii="Liberation Mono" w:hAnsi="Liberation Mono" w:eastAsia="Liberation Mono" w:cs="Liberation Mono"/>
      <w:color w:val="000000"/>
      <w:sz w:val="17"/>
    </w:rPr>
  </w:style>
  <w:style w:type="paragraph" w:customStyle="1" w:styleId="TableText">
    <w:name w:val="Table Text"/>
    <w:pPr>
      <w:spacing w:line="259" w:lineRule="auto" w:after="0" w:before="0"/>
    </w:pPr>
    <w:rPr>
      <w:rFonts w:ascii="Noto Sans" w:hAnsi="Noto Sans" w:eastAsia="Noto Sans" w:cs="Noto San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s43856-025-01159-0" TargetMode="External"/><Relationship Id="rId12" Type="http://schemas.openxmlformats.org/officeDocument/2006/relationships/hyperlink" Target="../../CHECKLIST.md" TargetMode="External"/><Relationship Id="rId13" Type="http://schemas.openxmlformats.org/officeDocument/2006/relationships/hyperlink" Target="../../REVIEW.md" TargetMode="External"/><Relationship Id="rId14" Type="http://schemas.openxmlformats.org/officeDocument/2006/relationships/hyperlink" Target="../../runs/test/metrics.json" TargetMode="External"/><Relationship Id="rId15" Type="http://schemas.openxmlformats.org/officeDocument/2006/relationships/hyperlink" Target="../../runs/test/diagnostics/" TargetMode="External"/><Relationship Id="rId16" Type="http://schemas.openxmlformats.org/officeDocument/2006/relationships/hyperlink" Target="../../runs/test-gpt-6.1-sol/metrics.json" TargetMode="External"/><Relationship Id="rId17" Type="http://schemas.openxmlformats.org/officeDocument/2006/relationships/hyperlink" Target="../../runs/test-gpt-6.1-sol/diagnostics/" TargetMode="External"/><Relationship Id="rId18" Type="http://schemas.openxmlformats.org/officeDocument/2006/relationships/hyperlink" Target="../../runs/test-gpt-6.1-sol/validation.json" TargetMode="External"/><Relationship Id="rId19" Type="http://schemas.openxmlformats.org/officeDocument/2006/relationships/hyperlink" Target="../../runs/comparison-gpt-4o-vs-sol/comparis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DietAI24 Reproduction Report</dc:title>
  <dc:subject>Reproduction results and supplementary model substitution comparison</dc:subject>
  <dc:creator/>
  <cp:keywords/>
  <dc:description/>
  <cp:lastModifiedBy/>
  <cp:revision>1</cp:revision>
  <dcterms:created xsi:type="dcterms:W3CDTF">2013-12-23T23:15:00Z</dcterms:created>
  <dcterms:modified xsi:type="dcterms:W3CDTF">2013-12-23T23:15:00Z</dcterms:modified>
  <cp:category/>
</cp:coreProperties>
</file>