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7FF0" w14:textId="77777777" w:rsidR="00434C0F" w:rsidRDefault="00434C0F" w:rsidP="00434C0F">
      <w:pPr>
        <w:pStyle w:val="Heading1"/>
        <w:rPr>
          <w:lang w:val="en-US"/>
        </w:rPr>
      </w:pPr>
      <w:r>
        <w:t xml:space="preserve">README: Data Extraction and Calculation for </w:t>
      </w:r>
      <w:r>
        <w:rPr>
          <w:lang w:val="en-US"/>
        </w:rPr>
        <w:t xml:space="preserve">Ad Valorem Tariffs Rates and </w:t>
      </w:r>
      <w:r>
        <w:t>Forest Growing Stock and Forest Stock Growth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TiMBA</w:t>
      </w:r>
      <w:proofErr w:type="spellEnd"/>
      <w:r>
        <w:rPr>
          <w:lang w:val="en-US"/>
        </w:rPr>
        <w:t xml:space="preserve"> v1.0.1</w:t>
      </w:r>
    </w:p>
    <w:p w14:paraId="63CAF60C" w14:textId="77777777" w:rsidR="00434C0F" w:rsidRDefault="00434C0F" w:rsidP="00434C0F">
      <w:pPr>
        <w:pStyle w:val="Heading1"/>
        <w:rPr>
          <w:lang w:val="en-US"/>
        </w:rPr>
      </w:pPr>
      <w:r>
        <w:rPr>
          <w:lang w:val="en-US"/>
        </w:rPr>
        <w:t>Content</w:t>
      </w:r>
    </w:p>
    <w:p w14:paraId="7C4E1EB8" w14:textId="77777777" w:rsidR="00434C0F" w:rsidRPr="00EA615E" w:rsidRDefault="00434C0F" w:rsidP="00434C0F">
      <w:pPr>
        <w:pStyle w:val="Heading1"/>
        <w:rPr>
          <w:lang w:val="en-US"/>
        </w:rPr>
      </w:pPr>
    </w:p>
    <w:p w14:paraId="5BFD7C6B" w14:textId="77777777" w:rsidR="00434C0F" w:rsidRPr="00DA7DB5" w:rsidRDefault="00434C0F" w:rsidP="00434C0F">
      <w:pPr>
        <w:pStyle w:val="Heading1"/>
        <w:rPr>
          <w:lang w:val="en-US"/>
        </w:rPr>
      </w:pPr>
      <w:r>
        <w:t>Calculation of Ad Valorem Tariffs</w:t>
      </w:r>
      <w:r>
        <w:rPr>
          <w:lang w:val="en-US"/>
        </w:rPr>
        <w:t xml:space="preserve"> Rates</w:t>
      </w:r>
    </w:p>
    <w:p w14:paraId="269AED37" w14:textId="77777777" w:rsidR="00434C0F" w:rsidRPr="00DA7DB5" w:rsidRDefault="00434C0F" w:rsidP="00434C0F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lang w:val="en-US"/>
        </w:rPr>
      </w:pPr>
      <w:r w:rsidRPr="00DA7DB5">
        <w:rPr>
          <w:lang w:val="en-US"/>
        </w:rPr>
        <w:t>Overview</w:t>
      </w:r>
    </w:p>
    <w:p w14:paraId="208B1061" w14:textId="77777777" w:rsidR="00434C0F" w:rsidRDefault="00434C0F" w:rsidP="00434C0F">
      <w:pPr>
        <w:pStyle w:val="NormalWeb"/>
      </w:pPr>
      <w:r>
        <w:t>The Timber market Model for policy-Based Analysis - TIMBA - is a partial economic equilibrium model for the global forest products market.</w:t>
      </w:r>
      <w:r>
        <w:rPr>
          <w:lang w:val="en-US"/>
        </w:rPr>
        <w:t xml:space="preserve"> It</w:t>
      </w:r>
      <w:r>
        <w:t xml:space="preserve"> simulates production, consumption, and trade</w:t>
      </w:r>
      <w:r>
        <w:rPr>
          <w:lang w:val="en-US"/>
        </w:rPr>
        <w:t xml:space="preserve"> of wood-based products</w:t>
      </w:r>
      <w:r>
        <w:t xml:space="preserve"> across 180 countries. </w:t>
      </w:r>
    </w:p>
    <w:p w14:paraId="120011F6" w14:textId="77777777" w:rsidR="00434C0F" w:rsidRDefault="00434C0F" w:rsidP="00434C0F">
      <w:pPr>
        <w:pStyle w:val="NormalWeb"/>
      </w:pPr>
      <w:r>
        <w:t xml:space="preserve">Trade in </w:t>
      </w:r>
      <w:proofErr w:type="spellStart"/>
      <w:r>
        <w:t>TiMBA</w:t>
      </w:r>
      <w:proofErr w:type="spellEnd"/>
      <w:r>
        <w:t xml:space="preserve"> depends</w:t>
      </w:r>
      <w:r>
        <w:rPr>
          <w:lang w:val="en-US"/>
        </w:rPr>
        <w:t>, among others,</w:t>
      </w:r>
      <w:r>
        <w:t xml:space="preserve"> on the transportation costs</w:t>
      </w:r>
      <w:r>
        <w:rPr>
          <w:lang w:val="en-US"/>
        </w:rPr>
        <w:t>. Transportation costs entails</w:t>
      </w:r>
      <w:r>
        <w:t xml:space="preserve"> commodity-specific freight costs and tariffs. </w:t>
      </w:r>
      <w:r>
        <w:rPr>
          <w:lang w:val="en-US"/>
        </w:rPr>
        <w:t>T</w:t>
      </w:r>
      <w:proofErr w:type="spellStart"/>
      <w:r>
        <w:t>ariffs</w:t>
      </w:r>
      <w:proofErr w:type="spellEnd"/>
      <w:r>
        <w:rPr>
          <w:lang w:val="en-US"/>
        </w:rPr>
        <w:t xml:space="preserve"> are </w:t>
      </w:r>
      <w:r>
        <w:t>calculated as a percentage of the value of the imported product</w:t>
      </w:r>
      <w:r>
        <w:rPr>
          <w:lang w:val="en-US"/>
        </w:rPr>
        <w:t xml:space="preserve"> using ad valorem rates.</w:t>
      </w:r>
      <w:r>
        <w:t xml:space="preserve"> </w:t>
      </w:r>
      <w:r>
        <w:rPr>
          <w:lang w:val="en-US"/>
        </w:rPr>
        <w:t>They</w:t>
      </w:r>
      <w:r>
        <w:t xml:space="preserve"> are derived from WTO Integrated Database (IDB) [WTO</w:t>
      </w:r>
      <w:r>
        <w:rPr>
          <w:lang w:val="en-US"/>
        </w:rPr>
        <w:t xml:space="preserve"> </w:t>
      </w:r>
      <w:r>
        <w:t>2024</w:t>
      </w:r>
      <w:r>
        <w:rPr>
          <w:lang w:val="en-US"/>
        </w:rPr>
        <w:t xml:space="preserve">: </w:t>
      </w:r>
      <w:r w:rsidRPr="00EA615E">
        <w:rPr>
          <w:lang w:val="en-US"/>
        </w:rPr>
        <w:t>http://tariffdata.wto.org/Default.aspx?culture=en-US</w:t>
      </w:r>
      <w:r>
        <w:t xml:space="preserve">] notifications using 6-digit </w:t>
      </w:r>
      <w:r>
        <w:rPr>
          <w:lang w:val="en-US"/>
        </w:rPr>
        <w:t xml:space="preserve">(subheadings) or 4-digit codes (headings) HS Codes. </w:t>
      </w:r>
    </w:p>
    <w:p w14:paraId="27BDD11A" w14:textId="77777777" w:rsidR="00434C0F" w:rsidRPr="00EA615E" w:rsidRDefault="00434C0F" w:rsidP="00434C0F">
      <w:pPr>
        <w:pStyle w:val="NormalWeb"/>
        <w:rPr>
          <w:lang w:val="en-US"/>
        </w:rPr>
      </w:pPr>
      <w:r>
        <w:t xml:space="preserve">This </w:t>
      </w:r>
      <w:r>
        <w:rPr>
          <w:lang w:val="en-US"/>
        </w:rPr>
        <w:t>Readme</w:t>
      </w:r>
      <w:r>
        <w:t xml:space="preserve"> provides a detailed explanation of how the ad valorem rates were </w:t>
      </w:r>
      <w:r>
        <w:rPr>
          <w:lang w:val="en-US"/>
        </w:rPr>
        <w:t xml:space="preserve">extracted and </w:t>
      </w:r>
      <w:r>
        <w:t xml:space="preserve">calculated for </w:t>
      </w:r>
      <w:r>
        <w:rPr>
          <w:lang w:val="en-US"/>
        </w:rPr>
        <w:t>different</w:t>
      </w:r>
      <w:r>
        <w:t xml:space="preserve"> </w:t>
      </w:r>
      <w:r>
        <w:rPr>
          <w:lang w:val="en-US"/>
        </w:rPr>
        <w:t xml:space="preserve">wood-based </w:t>
      </w:r>
      <w:r>
        <w:t xml:space="preserve">products across different countries. The rates are based on the </w:t>
      </w:r>
      <w:r>
        <w:rPr>
          <w:rStyle w:val="Strong"/>
        </w:rPr>
        <w:t>Most-</w:t>
      </w:r>
      <w:proofErr w:type="spellStart"/>
      <w:r>
        <w:rPr>
          <w:rStyle w:val="Strong"/>
        </w:rPr>
        <w:t>Favored</w:t>
      </w:r>
      <w:proofErr w:type="spellEnd"/>
      <w:r>
        <w:rPr>
          <w:rStyle w:val="Strong"/>
        </w:rPr>
        <w:t>-Nation (MFN)</w:t>
      </w:r>
      <w:r>
        <w:t xml:space="preserve"> applied tariff, and trade agreements were not considered in the calculations. </w:t>
      </w:r>
    </w:p>
    <w:p w14:paraId="380B97E8" w14:textId="77777777" w:rsidR="00434C0F" w:rsidRPr="00EA615E" w:rsidRDefault="00434C0F" w:rsidP="00434C0F">
      <w:pPr>
        <w:pStyle w:val="NormalWeb"/>
        <w:rPr>
          <w:lang w:val="en-US"/>
        </w:rPr>
      </w:pPr>
      <w:r w:rsidRPr="00EA615E">
        <w:rPr>
          <w:lang w:val="en-US"/>
        </w:rPr>
        <w:t>This research updates previous data as published with the</w:t>
      </w:r>
      <w:r>
        <w:t xml:space="preserve"> Forest Sector Model </w:t>
      </w:r>
      <w:r>
        <w:rPr>
          <w:lang w:val="en-US"/>
        </w:rPr>
        <w:t xml:space="preserve">GFPM </w:t>
      </w:r>
      <w:r>
        <w:t>[Buongiorno</w:t>
      </w:r>
      <w:r>
        <w:rPr>
          <w:lang w:val="en-US"/>
        </w:rPr>
        <w:t xml:space="preserve"> </w:t>
      </w:r>
      <w:r>
        <w:t>2003; GFPM-base</w:t>
      </w:r>
      <w:r>
        <w:rPr>
          <w:lang w:val="en-US"/>
        </w:rPr>
        <w:t xml:space="preserve"> </w:t>
      </w:r>
      <w:r>
        <w:t>2021]</w:t>
      </w:r>
      <w:r>
        <w:rPr>
          <w:lang w:val="en-US"/>
        </w:rPr>
        <w:t xml:space="preserve">. </w:t>
      </w:r>
      <w:r>
        <w:t xml:space="preserve">The base for the tariff update is the least available HS code version for each country, with updates based on data from </w:t>
      </w:r>
      <w:r>
        <w:rPr>
          <w:rStyle w:val="Strong"/>
        </w:rPr>
        <w:t>July 2024</w:t>
      </w:r>
      <w:r>
        <w:t xml:space="preserve"> sourced from the </w:t>
      </w:r>
      <w:r>
        <w:rPr>
          <w:rStyle w:val="Strong"/>
        </w:rPr>
        <w:t>World Trade Organization (WTO)</w:t>
      </w:r>
      <w:r>
        <w:rPr>
          <w:rStyle w:val="Strong"/>
          <w:rFonts w:eastAsiaTheme="majorEastAsia"/>
          <w:lang w:val="en-US"/>
        </w:rPr>
        <w:t xml:space="preserve"> Integrated Database (IDB)</w:t>
      </w:r>
      <w:r>
        <w:t xml:space="preserve"> </w:t>
      </w:r>
      <w:r>
        <w:rPr>
          <w:lang w:val="en-US"/>
        </w:rPr>
        <w:t xml:space="preserve">Tariff Download Facility (Link: </w:t>
      </w:r>
      <w:r w:rsidRPr="00EA615E">
        <w:rPr>
          <w:lang w:val="en-US"/>
        </w:rPr>
        <w:t>http://tariffdata.wto.org/Default.aspx?culture=en-US</w:t>
      </w:r>
      <w:r>
        <w:rPr>
          <w:lang w:val="en-US"/>
        </w:rPr>
        <w:t>)</w:t>
      </w:r>
      <w:r>
        <w:t>.</w:t>
      </w:r>
      <w:r>
        <w:rPr>
          <w:lang w:val="en-US"/>
        </w:rPr>
        <w:t xml:space="preserve"> </w:t>
      </w:r>
    </w:p>
    <w:p w14:paraId="2FCF615F" w14:textId="77777777" w:rsidR="00434C0F" w:rsidRPr="00EA615E" w:rsidRDefault="00434C0F" w:rsidP="00434C0F">
      <w:pPr>
        <w:pStyle w:val="Heading2"/>
        <w:rPr>
          <w:lang w:val="en-US"/>
        </w:rPr>
      </w:pPr>
      <w:r>
        <w:rPr>
          <w:lang w:val="en-US"/>
        </w:rPr>
        <w:t xml:space="preserve">2. Notes on </w:t>
      </w:r>
      <w:r w:rsidRPr="002B60C3">
        <w:rPr>
          <w:lang w:val="en-US"/>
        </w:rPr>
        <w:t xml:space="preserve">Tariff </w:t>
      </w:r>
      <w:r>
        <w:rPr>
          <w:lang w:val="en-US"/>
        </w:rPr>
        <w:t xml:space="preserve">Data </w:t>
      </w:r>
      <w:r w:rsidRPr="002B60C3">
        <w:rPr>
          <w:lang w:val="en-US"/>
        </w:rPr>
        <w:t>Calculation</w:t>
      </w:r>
      <w:r>
        <w:rPr>
          <w:lang w:val="en-US"/>
        </w:rPr>
        <w:t xml:space="preserve"> and Updates</w:t>
      </w:r>
    </w:p>
    <w:p w14:paraId="41D734EE" w14:textId="77777777" w:rsidR="00434C0F" w:rsidRPr="002B60C3" w:rsidRDefault="00434C0F" w:rsidP="00434C0F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  <w:rPr>
          <w:lang w:val="en-US"/>
        </w:rPr>
      </w:pPr>
      <w:r w:rsidRPr="002B60C3">
        <w:rPr>
          <w:rStyle w:val="Strong"/>
          <w:b w:val="0"/>
          <w:bCs w:val="0"/>
          <w:lang w:val="en-US"/>
        </w:rPr>
        <w:t>HS Code Selection</w:t>
      </w:r>
    </w:p>
    <w:p w14:paraId="781669DF" w14:textId="77777777" w:rsidR="00434C0F" w:rsidRPr="002B60C3" w:rsidRDefault="00434C0F" w:rsidP="00434C0F">
      <w:pPr>
        <w:pStyle w:val="NormalWeb"/>
        <w:rPr>
          <w:lang w:val="en-US"/>
        </w:rPr>
      </w:pPr>
      <w:r>
        <w:t xml:space="preserve">The </w:t>
      </w:r>
      <w:r>
        <w:rPr>
          <w:lang w:val="en-US"/>
        </w:rPr>
        <w:t xml:space="preserve">extraction and / or </w:t>
      </w:r>
      <w:r>
        <w:t xml:space="preserve">calculation of ad valorem rates is based on the </w:t>
      </w:r>
      <w:r>
        <w:rPr>
          <w:rStyle w:val="Strong"/>
        </w:rPr>
        <w:t>HS (Harmonized System) codes</w:t>
      </w:r>
      <w:r>
        <w:t xml:space="preserve"> for each product. The HS codes provide standardized classifications of goods, used internationally for tariff purposes.</w:t>
      </w:r>
      <w:r>
        <w:rPr>
          <w:lang w:val="en-US"/>
        </w:rPr>
        <w:t xml:space="preserve"> </w:t>
      </w:r>
      <w:r>
        <w:t>The HS classifies products using 6-digit codes that are organized by chapter</w:t>
      </w:r>
      <w:r>
        <w:rPr>
          <w:lang w:val="en-US"/>
        </w:rPr>
        <w:t>s</w:t>
      </w:r>
      <w:r>
        <w:t xml:space="preserve"> (2 digits), heading</w:t>
      </w:r>
      <w:r>
        <w:rPr>
          <w:lang w:val="en-US"/>
        </w:rPr>
        <w:t>s</w:t>
      </w:r>
      <w:r>
        <w:t xml:space="preserve"> (4 digits)</w:t>
      </w:r>
      <w:r>
        <w:rPr>
          <w:lang w:val="en-US"/>
        </w:rPr>
        <w:t>,</w:t>
      </w:r>
      <w:r>
        <w:t xml:space="preserve"> and subheading (6 digits).</w:t>
      </w:r>
      <w:r>
        <w:rPr>
          <w:lang w:val="en-US"/>
        </w:rPr>
        <w:t xml:space="preserve"> If applicable, we extract information stated on the </w:t>
      </w:r>
      <w:r w:rsidRPr="00EA615E">
        <w:rPr>
          <w:b/>
          <w:bCs/>
          <w:lang w:val="en-US"/>
        </w:rPr>
        <w:t>4-digit level</w:t>
      </w:r>
      <w:r>
        <w:rPr>
          <w:lang w:val="en-US"/>
        </w:rPr>
        <w:t xml:space="preserve">. </w:t>
      </w:r>
      <w:r w:rsidRPr="002B60C3">
        <w:rPr>
          <w:lang w:val="en-US"/>
        </w:rPr>
        <w:t>However, in some cases, a product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TiMBA</w:t>
      </w:r>
      <w:proofErr w:type="spellEnd"/>
      <w:r>
        <w:rPr>
          <w:lang w:val="en-US"/>
        </w:rPr>
        <w:t xml:space="preserve"> model framework</w:t>
      </w:r>
      <w:r w:rsidRPr="002B60C3">
        <w:rPr>
          <w:lang w:val="en-US"/>
        </w:rPr>
        <w:t xml:space="preserve"> is represented by</w:t>
      </w:r>
      <w:r w:rsidRPr="002B60C3">
        <w:rPr>
          <w:rStyle w:val="Strong"/>
          <w:lang w:val="en-US"/>
        </w:rPr>
        <w:t xml:space="preserve"> 6-digit HS codes</w:t>
      </w:r>
      <w:r w:rsidRPr="002B60C3">
        <w:rPr>
          <w:lang w:val="en-US"/>
        </w:rPr>
        <w:t xml:space="preserve">.  </w:t>
      </w:r>
    </w:p>
    <w:p w14:paraId="0EE880EF" w14:textId="77777777" w:rsidR="00434C0F" w:rsidRPr="00EA615E" w:rsidRDefault="00434C0F" w:rsidP="00434C0F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  <w:rPr>
          <w:rStyle w:val="Strong"/>
          <w:b w:val="0"/>
          <w:bCs w:val="0"/>
          <w:lang w:val="en-US"/>
        </w:rPr>
      </w:pPr>
      <w:r w:rsidRPr="00EA615E">
        <w:rPr>
          <w:lang w:val="en-US"/>
        </w:rPr>
        <w:lastRenderedPageBreak/>
        <w:t>B</w:t>
      </w:r>
      <w:r w:rsidRPr="00EA615E">
        <w:rPr>
          <w:rStyle w:val="Strong"/>
          <w:b w:val="0"/>
          <w:bCs w:val="0"/>
          <w:lang w:val="en-US"/>
        </w:rPr>
        <w:t xml:space="preserve">ase for Updates </w:t>
      </w:r>
    </w:p>
    <w:p w14:paraId="08A6FA1D" w14:textId="77777777" w:rsidR="00434C0F" w:rsidRPr="009928E8" w:rsidRDefault="00434C0F" w:rsidP="00434C0F">
      <w:pPr>
        <w:spacing w:before="100" w:beforeAutospacing="1" w:after="100" w:afterAutospacing="1" w:line="240" w:lineRule="auto"/>
        <w:rPr>
          <w:lang w:val="en-US"/>
        </w:rPr>
      </w:pPr>
      <w:r w:rsidRPr="00EA615E">
        <w:rPr>
          <w:lang w:val="en-US"/>
        </w:rPr>
        <w:t xml:space="preserve">The calculation uses the </w:t>
      </w:r>
      <w:r w:rsidRPr="00EA615E">
        <w:rPr>
          <w:rStyle w:val="Strong"/>
          <w:lang w:val="en-US"/>
        </w:rPr>
        <w:t>least available HS version</w:t>
      </w:r>
      <w:r w:rsidRPr="00EA615E">
        <w:rPr>
          <w:lang w:val="en-US"/>
        </w:rPr>
        <w:t xml:space="preserve"> for a particular country</w:t>
      </w:r>
      <w:r>
        <w:rPr>
          <w:lang w:val="en-US"/>
        </w:rPr>
        <w:t xml:space="preserve">. </w:t>
      </w:r>
      <w:r w:rsidRPr="009928E8">
        <w:rPr>
          <w:lang w:val="en-US"/>
        </w:rPr>
        <w:t xml:space="preserve">The rates were carefully checked for accuracy, and changes to earlier entries were marked using </w:t>
      </w:r>
      <w:r>
        <w:rPr>
          <w:rStyle w:val="Strong"/>
          <w:lang w:val="en-US"/>
        </w:rPr>
        <w:t>flags</w:t>
      </w:r>
      <w:r w:rsidRPr="009928E8">
        <w:rPr>
          <w:lang w:val="en-US"/>
        </w:rPr>
        <w:t xml:space="preserve"> for transparency.</w:t>
      </w:r>
    </w:p>
    <w:p w14:paraId="08D5E13D" w14:textId="77777777" w:rsidR="00434C0F" w:rsidRDefault="00434C0F" w:rsidP="00434C0F">
      <w:pPr>
        <w:spacing w:before="100" w:beforeAutospacing="1" w:after="100" w:afterAutospacing="1" w:line="240" w:lineRule="auto"/>
        <w:rPr>
          <w:lang w:val="en-US"/>
        </w:rPr>
      </w:pPr>
      <w:r w:rsidRPr="00EA615E">
        <w:rPr>
          <w:lang w:val="en-US"/>
        </w:rPr>
        <w:t xml:space="preserve">The different </w:t>
      </w:r>
      <w:r w:rsidRPr="00EA615E">
        <w:rPr>
          <w:b/>
          <w:bCs/>
          <w:lang w:val="en-US"/>
        </w:rPr>
        <w:t>flags</w:t>
      </w:r>
      <w:r w:rsidRPr="00EA615E">
        <w:rPr>
          <w:lang w:val="en-US"/>
        </w:rPr>
        <w:t xml:space="preserve"> </w:t>
      </w:r>
      <w:r>
        <w:rPr>
          <w:lang w:val="en-US"/>
        </w:rPr>
        <w:t>associated to the</w:t>
      </w:r>
      <w:r w:rsidRPr="00EA615E">
        <w:rPr>
          <w:lang w:val="en-US"/>
        </w:rPr>
        <w:t xml:space="preserve"> ad valorem rates in Table </w:t>
      </w:r>
      <w:r>
        <w:rPr>
          <w:lang w:val="en-US"/>
        </w:rPr>
        <w:t>2</w:t>
      </w:r>
      <w:r w:rsidRPr="00EA615E">
        <w:rPr>
          <w:lang w:val="en-US"/>
        </w:rPr>
        <w:t xml:space="preserve"> carry additional information: </w:t>
      </w:r>
      <w:r w:rsidRPr="00EA615E">
        <w:rPr>
          <w:b/>
          <w:bCs/>
          <w:lang w:val="en-US"/>
        </w:rPr>
        <w:t>O</w:t>
      </w:r>
      <w:r>
        <w:rPr>
          <w:lang w:val="en-US"/>
        </w:rPr>
        <w:t xml:space="preserve"> indicates that</w:t>
      </w:r>
      <w:r w:rsidRPr="00EA615E">
        <w:rPr>
          <w:lang w:val="en-US"/>
        </w:rPr>
        <w:t xml:space="preserve"> the update </w:t>
      </w:r>
      <w:proofErr w:type="gramStart"/>
      <w:r w:rsidRPr="00EA615E">
        <w:rPr>
          <w:lang w:val="en-US"/>
        </w:rPr>
        <w:t>are</w:t>
      </w:r>
      <w:proofErr w:type="gramEnd"/>
      <w:r w:rsidRPr="00EA615E">
        <w:rPr>
          <w:lang w:val="en-US"/>
        </w:rPr>
        <w:t xml:space="preserve"> based on a very old HS version, </w:t>
      </w:r>
      <w:r w:rsidRPr="00EA615E">
        <w:rPr>
          <w:b/>
          <w:bCs/>
          <w:lang w:val="en-US"/>
        </w:rPr>
        <w:t>U</w:t>
      </w:r>
      <w:r>
        <w:rPr>
          <w:lang w:val="en-US"/>
        </w:rPr>
        <w:t xml:space="preserve"> i</w:t>
      </w:r>
      <w:r w:rsidRPr="00EA615E">
        <w:rPr>
          <w:lang w:val="en-US"/>
        </w:rPr>
        <w:t xml:space="preserve">ndicates that the updated value differs from </w:t>
      </w:r>
      <w:proofErr w:type="spellStart"/>
      <w:r w:rsidRPr="00EA615E">
        <w:rPr>
          <w:lang w:val="en-US"/>
        </w:rPr>
        <w:t>a</w:t>
      </w:r>
      <w:proofErr w:type="spellEnd"/>
      <w:r w:rsidRPr="00EA615E">
        <w:rPr>
          <w:lang w:val="en-US"/>
        </w:rPr>
        <w:t xml:space="preserve"> earlier entr</w:t>
      </w:r>
      <w:r>
        <w:rPr>
          <w:lang w:val="en-US"/>
        </w:rPr>
        <w:t>ies</w:t>
      </w:r>
      <w:r w:rsidRPr="00EA615E">
        <w:rPr>
          <w:lang w:val="en-US"/>
        </w:rPr>
        <w:t xml:space="preserve">, </w:t>
      </w:r>
      <w:r w:rsidRPr="00EA615E"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 s</w:t>
      </w:r>
      <w:r w:rsidRPr="00EA615E">
        <w:rPr>
          <w:lang w:val="en-US"/>
        </w:rPr>
        <w:t>hows that the value has been checked in the with WTO IDB data from July 2024 and remains unchanged compared to the data provided by GFPM (</w:t>
      </w:r>
      <w:r>
        <w:rPr>
          <w:lang w:val="en-US"/>
        </w:rPr>
        <w:t>2021</w:t>
      </w:r>
      <w:r w:rsidRPr="00EA615E">
        <w:rPr>
          <w:lang w:val="en-US"/>
        </w:rPr>
        <w:t xml:space="preserve">), and </w:t>
      </w:r>
      <w:r w:rsidRPr="00EA615E">
        <w:rPr>
          <w:b/>
          <w:bCs/>
          <w:lang w:val="en-US"/>
        </w:rPr>
        <w:t>X</w:t>
      </w:r>
      <w:r>
        <w:rPr>
          <w:lang w:val="en-US"/>
        </w:rPr>
        <w:t xml:space="preserve"> means that n</w:t>
      </w:r>
      <w:r w:rsidRPr="00EA615E">
        <w:rPr>
          <w:lang w:val="en-US"/>
        </w:rPr>
        <w:t xml:space="preserve">o information </w:t>
      </w:r>
      <w:r>
        <w:rPr>
          <w:lang w:val="en-US"/>
        </w:rPr>
        <w:t xml:space="preserve">are </w:t>
      </w:r>
      <w:r w:rsidRPr="00EA615E">
        <w:rPr>
          <w:lang w:val="en-US"/>
        </w:rPr>
        <w:t xml:space="preserve">available for the corresponding product </w:t>
      </w:r>
      <w:r>
        <w:rPr>
          <w:lang w:val="en-US"/>
        </w:rPr>
        <w:t>and</w:t>
      </w:r>
      <w:r w:rsidRPr="00EA615E">
        <w:rPr>
          <w:lang w:val="en-US"/>
        </w:rPr>
        <w:t xml:space="preserve"> country.</w:t>
      </w:r>
      <w:r>
        <w:rPr>
          <w:lang w:val="en-US"/>
        </w:rPr>
        <w:t xml:space="preserve"> For these countries, we assume an ad valorem rate of zero. </w:t>
      </w:r>
    </w:p>
    <w:p w14:paraId="102E8534" w14:textId="77777777" w:rsidR="00434C0F" w:rsidRDefault="00434C0F" w:rsidP="00434C0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Differences between provided data provided in Table 2 and the information delivered with the </w:t>
      </w:r>
      <w:r w:rsidRPr="00EA615E">
        <w:rPr>
          <w:lang w:val="en-US"/>
        </w:rPr>
        <w:t>GFPM-base</w:t>
      </w:r>
      <w:r>
        <w:rPr>
          <w:lang w:val="en-US"/>
        </w:rPr>
        <w:t xml:space="preserve"> (</w:t>
      </w:r>
      <w:r w:rsidRPr="00EA615E">
        <w:rPr>
          <w:lang w:val="en-US"/>
        </w:rPr>
        <w:t>2021</w:t>
      </w:r>
      <w:r>
        <w:rPr>
          <w:lang w:val="en-US"/>
        </w:rPr>
        <w:t>) should come from the updates of the values. However, especially when</w:t>
      </w:r>
      <w:r w:rsidRPr="00EA615E">
        <w:rPr>
          <w:lang w:val="en-US"/>
        </w:rPr>
        <w:t xml:space="preserve"> combined HS code combinations</w:t>
      </w:r>
      <w:r>
        <w:rPr>
          <w:lang w:val="en-US"/>
        </w:rPr>
        <w:t xml:space="preserve"> are used for product representation</w:t>
      </w:r>
      <w:r w:rsidRPr="00EA615E">
        <w:rPr>
          <w:lang w:val="en-US"/>
        </w:rPr>
        <w:t>, the difference may also arise from the different use of product classifications and assignments</w:t>
      </w:r>
      <w:r>
        <w:rPr>
          <w:lang w:val="en-US"/>
        </w:rPr>
        <w:t xml:space="preserve"> in the current work and the GFPM (Buongiorno 2003) (Buongiorno 2015)</w:t>
      </w:r>
    </w:p>
    <w:p w14:paraId="63B8DD87" w14:textId="77777777" w:rsidR="00434C0F" w:rsidRPr="00EA615E" w:rsidRDefault="00434C0F" w:rsidP="00434C0F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  <w:rPr>
          <w:rStyle w:val="Strong"/>
          <w:lang w:val="en-US"/>
        </w:rPr>
      </w:pPr>
      <w:r w:rsidRPr="00DA7DB5">
        <w:rPr>
          <w:rStyle w:val="Strong"/>
          <w:b w:val="0"/>
          <w:bCs w:val="0"/>
          <w:lang w:val="en-US"/>
        </w:rPr>
        <w:t xml:space="preserve">Ad Valorem Rate </w:t>
      </w:r>
      <w:r>
        <w:rPr>
          <w:rStyle w:val="Strong"/>
          <w:b w:val="0"/>
          <w:bCs w:val="0"/>
          <w:lang w:val="en-US"/>
        </w:rPr>
        <w:t>Acquisition</w:t>
      </w:r>
    </w:p>
    <w:p w14:paraId="46176261" w14:textId="77777777" w:rsidR="00434C0F" w:rsidRDefault="00434C0F" w:rsidP="00434C0F">
      <w:pPr>
        <w:pStyle w:val="NormalWeb"/>
      </w:pPr>
      <w:r>
        <w:rPr>
          <w:lang w:val="en-US"/>
        </w:rPr>
        <w:t xml:space="preserve">In general, mean </w:t>
      </w:r>
      <w:r w:rsidRPr="002B60C3">
        <w:rPr>
          <w:lang w:val="en-US"/>
        </w:rPr>
        <w:t>ad valorem rates for those specific products</w:t>
      </w:r>
      <w:r>
        <w:rPr>
          <w:lang w:val="en-US"/>
        </w:rPr>
        <w:t xml:space="preserve"> are extracted from the WTO IDB. Products represented by more than one HS-code</w:t>
      </w:r>
      <w:r w:rsidRPr="002B60C3">
        <w:rPr>
          <w:lang w:val="en-US"/>
        </w:rPr>
        <w:t xml:space="preserve"> are treated separately </w:t>
      </w:r>
      <w:r>
        <w:rPr>
          <w:lang w:val="en-US"/>
        </w:rPr>
        <w:t>for</w:t>
      </w:r>
      <w:r w:rsidRPr="002B60C3">
        <w:rPr>
          <w:lang w:val="en-US"/>
        </w:rPr>
        <w:t xml:space="preserve"> calculating </w:t>
      </w:r>
      <w:r>
        <w:rPr>
          <w:lang w:val="en-US"/>
        </w:rPr>
        <w:t xml:space="preserve">mean </w:t>
      </w:r>
      <w:r w:rsidRPr="002B60C3">
        <w:rPr>
          <w:lang w:val="en-US"/>
        </w:rPr>
        <w:t>ad valorem rates for those specific products.</w:t>
      </w:r>
      <w:r>
        <w:rPr>
          <w:lang w:val="en-US"/>
        </w:rPr>
        <w:t xml:space="preserve"> Thus, depending on the number of HS codes digit levels involved, a</w:t>
      </w:r>
      <w:r>
        <w:t>d valorem rates were either</w:t>
      </w:r>
      <w:r>
        <w:rPr>
          <w:lang w:val="en-US"/>
        </w:rPr>
        <w:t xml:space="preserve"> extracted or calculated</w:t>
      </w:r>
      <w:r>
        <w:t>:</w:t>
      </w:r>
    </w:p>
    <w:p w14:paraId="0A25F104" w14:textId="77777777" w:rsidR="00434C0F" w:rsidRDefault="00434C0F" w:rsidP="00434C0F">
      <w:pPr>
        <w:pStyle w:val="NormalWeb"/>
        <w:rPr>
          <w:lang w:val="en-US"/>
        </w:rPr>
      </w:pPr>
      <w:r w:rsidRPr="00EA615E">
        <w:rPr>
          <w:rStyle w:val="Strong"/>
          <w:rFonts w:eastAsiaTheme="majorEastAsia"/>
          <w:b w:val="0"/>
          <w:bCs w:val="0"/>
          <w:lang w:val="en-US"/>
        </w:rPr>
        <w:t>Where possible, the ad valorem rate for a specific country and product are e</w:t>
      </w:r>
      <w:r w:rsidRPr="00EA615E">
        <w:rPr>
          <w:rStyle w:val="Strong"/>
          <w:b w:val="0"/>
          <w:bCs w:val="0"/>
          <w:lang w:val="en-US"/>
        </w:rPr>
        <w:t>xtracted</w:t>
      </w:r>
      <w:r w:rsidRPr="00EA615E">
        <w:rPr>
          <w:b/>
          <w:bCs/>
          <w:lang w:val="en-US"/>
        </w:rPr>
        <w:t xml:space="preserve"> </w:t>
      </w:r>
      <w:r w:rsidRPr="00DA7DB5">
        <w:rPr>
          <w:lang w:val="en-US"/>
        </w:rPr>
        <w:t xml:space="preserve">directly from the </w:t>
      </w:r>
      <w:r w:rsidRPr="00EA615E">
        <w:rPr>
          <w:b/>
          <w:bCs/>
          <w:lang w:val="en-US"/>
        </w:rPr>
        <w:t>WTO</w:t>
      </w:r>
      <w:r w:rsidRPr="00DA7DB5">
        <w:rPr>
          <w:lang w:val="en-US"/>
        </w:rPr>
        <w:t xml:space="preserve"> </w:t>
      </w:r>
      <w:r w:rsidRPr="00EA615E">
        <w:rPr>
          <w:b/>
          <w:bCs/>
          <w:lang w:val="en-US"/>
        </w:rPr>
        <w:t>IDB</w:t>
      </w:r>
      <w:r>
        <w:rPr>
          <w:lang w:val="en-US"/>
        </w:rPr>
        <w:t xml:space="preserve"> as (mean) ad valorem rates on the 4-digit or 6-digit code level. Prerequisite for the former case is, that the product representation in </w:t>
      </w:r>
      <w:proofErr w:type="spellStart"/>
      <w:r>
        <w:rPr>
          <w:lang w:val="en-US"/>
        </w:rPr>
        <w:t>TiMBA</w:t>
      </w:r>
      <w:proofErr w:type="spellEnd"/>
      <w:r>
        <w:rPr>
          <w:lang w:val="en-US"/>
        </w:rPr>
        <w:t xml:space="preserve"> is congruent with the 4-digit level in the HS system.  </w:t>
      </w:r>
    </w:p>
    <w:p w14:paraId="6C9BEEC2" w14:textId="77777777" w:rsidR="00434C0F" w:rsidRPr="00DA7DB5" w:rsidRDefault="00434C0F" w:rsidP="00434C0F">
      <w:pPr>
        <w:pStyle w:val="NormalWeb"/>
        <w:rPr>
          <w:lang w:val="en-US"/>
        </w:rPr>
      </w:pPr>
      <w:r w:rsidRPr="00EA615E">
        <w:rPr>
          <w:lang w:val="en-US"/>
        </w:rPr>
        <w:t>Some products are represented by more than one</w:t>
      </w:r>
      <w:r>
        <w:rPr>
          <w:lang w:val="en-US"/>
        </w:rPr>
        <w:t xml:space="preserve"> 4-digit and / or</w:t>
      </w:r>
      <w:r w:rsidRPr="00EA615E">
        <w:rPr>
          <w:lang w:val="en-US"/>
        </w:rPr>
        <w:t xml:space="preserve"> 6-digit HS code. When this occurs, the tariffs for these codes are treated separately for the calculation, and the final ad valorem rate reflects the aggregate or a representative value based on the available data.</w:t>
      </w:r>
      <w:r>
        <w:rPr>
          <w:lang w:val="en-US"/>
        </w:rPr>
        <w:t xml:space="preserve"> In case that</w:t>
      </w:r>
      <w:r w:rsidRPr="002B60C3">
        <w:rPr>
          <w:lang w:val="en-US"/>
        </w:rPr>
        <w:t xml:space="preserve"> a product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TiMBA</w:t>
      </w:r>
      <w:proofErr w:type="spellEnd"/>
      <w:r>
        <w:rPr>
          <w:lang w:val="en-US"/>
        </w:rPr>
        <w:t xml:space="preserve"> </w:t>
      </w:r>
      <w:r w:rsidRPr="002B60C3">
        <w:rPr>
          <w:lang w:val="en-US"/>
        </w:rPr>
        <w:t xml:space="preserve">is </w:t>
      </w:r>
      <w:r>
        <w:rPr>
          <w:lang w:val="en-US"/>
        </w:rPr>
        <w:t>composed of</w:t>
      </w:r>
      <w:r w:rsidRPr="002B60C3">
        <w:rPr>
          <w:lang w:val="en-US"/>
        </w:rPr>
        <w:t xml:space="preserve"> </w:t>
      </w:r>
      <w:r w:rsidRPr="002B60C3">
        <w:rPr>
          <w:rStyle w:val="Strong"/>
          <w:lang w:val="en-US"/>
        </w:rPr>
        <w:t>multiple HS codes</w:t>
      </w:r>
      <w:r>
        <w:rPr>
          <w:rStyle w:val="Strong"/>
          <w:rFonts w:eastAsiaTheme="majorEastAsia"/>
          <w:lang w:val="en-US"/>
        </w:rPr>
        <w:t xml:space="preserve"> (see Table x), the ad valorem rate is c</w:t>
      </w:r>
      <w:r w:rsidRPr="00DA7DB5">
        <w:rPr>
          <w:rStyle w:val="Strong"/>
          <w:lang w:val="en-US"/>
        </w:rPr>
        <w:t>alculated</w:t>
      </w:r>
      <w:r w:rsidRPr="00DA7DB5">
        <w:rPr>
          <w:lang w:val="en-US"/>
        </w:rPr>
        <w:t xml:space="preserve"> based on the available tariff data for the product and country</w:t>
      </w:r>
      <w:r>
        <w:rPr>
          <w:lang w:val="en-US"/>
        </w:rPr>
        <w:t xml:space="preserve"> </w:t>
      </w:r>
      <w:r w:rsidRPr="00EA615E">
        <w:rPr>
          <w:lang w:val="en-US"/>
        </w:rPr>
        <w:t>as the average of ad valorem duties of the respective reporter country and product</w:t>
      </w:r>
      <w:r>
        <w:rPr>
          <w:lang w:val="en-US"/>
        </w:rPr>
        <w:t xml:space="preserve">. </w:t>
      </w:r>
    </w:p>
    <w:p w14:paraId="35236D2E" w14:textId="77777777" w:rsidR="00434C0F" w:rsidRPr="00DA7DB5" w:rsidRDefault="00434C0F" w:rsidP="00434C0F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  <w:rPr>
          <w:lang w:val="en-US"/>
        </w:rPr>
      </w:pPr>
      <w:r w:rsidRPr="00DA7DB5">
        <w:rPr>
          <w:rStyle w:val="Strong"/>
          <w:b w:val="0"/>
          <w:bCs w:val="0"/>
          <w:lang w:val="en-US"/>
        </w:rPr>
        <w:t>List of Products</w:t>
      </w:r>
    </w:p>
    <w:p w14:paraId="2B205C59" w14:textId="77777777" w:rsidR="00434C0F" w:rsidRPr="00EA615E" w:rsidRDefault="00434C0F" w:rsidP="00434C0F">
      <w:pPr>
        <w:pStyle w:val="NormalWeb"/>
        <w:spacing w:after="0" w:afterAutospacing="0"/>
        <w:rPr>
          <w:lang w:val="en-US"/>
        </w:rPr>
      </w:pPr>
      <w:r>
        <w:t>T</w:t>
      </w:r>
      <w:r>
        <w:rPr>
          <w:lang w:val="en-US"/>
        </w:rPr>
        <w:t>able 1: P</w:t>
      </w:r>
      <w:proofErr w:type="spellStart"/>
      <w:r>
        <w:t>roducts</w:t>
      </w:r>
      <w:proofErr w:type="spellEnd"/>
      <w:r>
        <w:rPr>
          <w:lang w:val="en-US"/>
        </w:rPr>
        <w:t xml:space="preserve"> and assignment of HS codes </w:t>
      </w:r>
      <w:r>
        <w:t xml:space="preserve">used </w:t>
      </w:r>
      <w:r>
        <w:rPr>
          <w:lang w:val="en-US"/>
        </w:rPr>
        <w:t>for</w:t>
      </w:r>
      <w:r>
        <w:t xml:space="preserve"> the ad valorem rate calculations</w:t>
      </w:r>
      <w:r>
        <w:rPr>
          <w:lang w:val="en-US"/>
        </w:rPr>
        <w:t xml:space="preserve">. </w:t>
      </w:r>
    </w:p>
    <w:tbl>
      <w:tblPr>
        <w:tblStyle w:val="TableGrid"/>
        <w:tblW w:w="9846" w:type="dxa"/>
        <w:tblLook w:val="04A0" w:firstRow="1" w:lastRow="0" w:firstColumn="1" w:lastColumn="0" w:noHBand="0" w:noVBand="1"/>
      </w:tblPr>
      <w:tblGrid>
        <w:gridCol w:w="3100"/>
        <w:gridCol w:w="6746"/>
      </w:tblGrid>
      <w:tr w:rsidR="00434C0F" w:rsidRPr="00EA615E" w14:paraId="0A802656" w14:textId="77777777" w:rsidTr="00385B09">
        <w:trPr>
          <w:trHeight w:val="288"/>
        </w:trPr>
        <w:tc>
          <w:tcPr>
            <w:tcW w:w="3100" w:type="dxa"/>
            <w:shd w:val="clear" w:color="auto" w:fill="E7E6E6" w:themeFill="background2"/>
            <w:noWrap/>
            <w:hideMark/>
          </w:tcPr>
          <w:p w14:paraId="1383859F" w14:textId="77777777" w:rsidR="00434C0F" w:rsidRPr="00EA615E" w:rsidRDefault="00434C0F" w:rsidP="00385B09">
            <w:pPr>
              <w:rPr>
                <w:rFonts w:ascii="Calibri" w:eastAsia="Times New Roman" w:hAnsi="Calibri" w:cs="Calibri"/>
                <w:color w:val="000000"/>
                <w:lang w:val="en-US" w:eastAsia="en-D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DE"/>
              </w:rPr>
              <w:t>Product</w:t>
            </w:r>
          </w:p>
        </w:tc>
        <w:tc>
          <w:tcPr>
            <w:tcW w:w="6746" w:type="dxa"/>
            <w:shd w:val="clear" w:color="auto" w:fill="E7E6E6" w:themeFill="background2"/>
            <w:noWrap/>
            <w:hideMark/>
          </w:tcPr>
          <w:p w14:paraId="37A9DC96" w14:textId="77777777" w:rsidR="00434C0F" w:rsidRPr="00EA615E" w:rsidRDefault="00434C0F" w:rsidP="00385B09">
            <w:pPr>
              <w:jc w:val="center"/>
              <w:rPr>
                <w:rFonts w:ascii="Calibri" w:eastAsia="Times New Roman" w:hAnsi="Calibri" w:cs="Calibri"/>
                <w:color w:val="00000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color w:val="000000"/>
                <w:lang w:val="en-DE" w:eastAsia="en-DE"/>
              </w:rPr>
              <w:t>HS code</w:t>
            </w:r>
            <w:r>
              <w:rPr>
                <w:rFonts w:ascii="Calibri" w:eastAsia="Times New Roman" w:hAnsi="Calibri" w:cs="Calibri"/>
                <w:color w:val="000000"/>
                <w:lang w:val="en-US" w:eastAsia="en-DE"/>
              </w:rPr>
              <w:t>s</w:t>
            </w:r>
            <w:r w:rsidRPr="00EA615E">
              <w:rPr>
                <w:rFonts w:ascii="Calibri" w:eastAsia="Times New Roman" w:hAnsi="Calibri" w:cs="Calibri"/>
                <w:color w:val="000000"/>
                <w:lang w:val="en-DE" w:eastAsia="en-DE"/>
              </w:rPr>
              <w:t xml:space="preserve"> </w:t>
            </w:r>
          </w:p>
        </w:tc>
      </w:tr>
      <w:tr w:rsidR="00434C0F" w:rsidRPr="00EA615E" w14:paraId="468F2F0D" w14:textId="77777777" w:rsidTr="00385B09">
        <w:trPr>
          <w:trHeight w:val="288"/>
        </w:trPr>
        <w:tc>
          <w:tcPr>
            <w:tcW w:w="3100" w:type="dxa"/>
            <w:noWrap/>
            <w:hideMark/>
          </w:tcPr>
          <w:p w14:paraId="714B5B6D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Fuelwood</w:t>
            </w:r>
          </w:p>
        </w:tc>
        <w:tc>
          <w:tcPr>
            <w:tcW w:w="6746" w:type="dxa"/>
            <w:noWrap/>
            <w:hideMark/>
          </w:tcPr>
          <w:p w14:paraId="72FF488D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4401</w:t>
            </w:r>
          </w:p>
        </w:tc>
      </w:tr>
      <w:tr w:rsidR="00434C0F" w:rsidRPr="00EA615E" w14:paraId="2E85F566" w14:textId="77777777" w:rsidTr="00385B09">
        <w:trPr>
          <w:trHeight w:val="288"/>
        </w:trPr>
        <w:tc>
          <w:tcPr>
            <w:tcW w:w="3100" w:type="dxa"/>
            <w:noWrap/>
            <w:hideMark/>
          </w:tcPr>
          <w:p w14:paraId="7E0CD9DD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US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Ind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US" w:eastAsia="en-DE"/>
              </w:rPr>
              <w:t>ustrial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US" w:eastAsia="en-DE"/>
              </w:rPr>
              <w:t xml:space="preserve"> R</w:t>
            </w:r>
            <w:proofErr w:type="spellStart"/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ound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US" w:eastAsia="en-DE"/>
              </w:rPr>
              <w:t>wood</w:t>
            </w:r>
          </w:p>
        </w:tc>
        <w:tc>
          <w:tcPr>
            <w:tcW w:w="6746" w:type="dxa"/>
            <w:noWrap/>
            <w:hideMark/>
          </w:tcPr>
          <w:p w14:paraId="4E0EF2D0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4403</w:t>
            </w:r>
          </w:p>
        </w:tc>
      </w:tr>
      <w:tr w:rsidR="00434C0F" w:rsidRPr="00EA615E" w14:paraId="0F9170D6" w14:textId="77777777" w:rsidTr="00385B09">
        <w:trPr>
          <w:trHeight w:val="288"/>
        </w:trPr>
        <w:tc>
          <w:tcPr>
            <w:tcW w:w="3100" w:type="dxa"/>
            <w:noWrap/>
            <w:hideMark/>
          </w:tcPr>
          <w:p w14:paraId="642409BE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proofErr w:type="spellStart"/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Sawnwood</w:t>
            </w:r>
            <w:proofErr w:type="spellEnd"/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DE"/>
              </w:rPr>
              <w:t>N</w:t>
            </w: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on-coniferous</w:t>
            </w:r>
          </w:p>
        </w:tc>
        <w:tc>
          <w:tcPr>
            <w:tcW w:w="6746" w:type="dxa"/>
            <w:noWrap/>
            <w:hideMark/>
          </w:tcPr>
          <w:p w14:paraId="5596A6FF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440721, 440722, 440723, 440724, 440725, 440726, 440727, 440728, 440729, 440791, 440792, 440793, 440794, 440795, 440796, 440797, 440799</w:t>
            </w:r>
          </w:p>
        </w:tc>
      </w:tr>
      <w:tr w:rsidR="00434C0F" w:rsidRPr="00EA615E" w14:paraId="746A25A8" w14:textId="77777777" w:rsidTr="00385B09">
        <w:trPr>
          <w:trHeight w:val="288"/>
        </w:trPr>
        <w:tc>
          <w:tcPr>
            <w:tcW w:w="3100" w:type="dxa"/>
            <w:noWrap/>
            <w:hideMark/>
          </w:tcPr>
          <w:p w14:paraId="59A2804E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proofErr w:type="spellStart"/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Sawnwood</w:t>
            </w:r>
            <w:proofErr w:type="spellEnd"/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 xml:space="preserve"> Coniferous</w:t>
            </w:r>
          </w:p>
        </w:tc>
        <w:tc>
          <w:tcPr>
            <w:tcW w:w="6746" w:type="dxa"/>
            <w:noWrap/>
            <w:hideMark/>
          </w:tcPr>
          <w:p w14:paraId="4A2123E0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440710, 440711, 440712, 440713, 440714, 440719</w:t>
            </w:r>
          </w:p>
        </w:tc>
      </w:tr>
      <w:tr w:rsidR="00434C0F" w:rsidRPr="00EA615E" w14:paraId="66064800" w14:textId="77777777" w:rsidTr="00385B09">
        <w:trPr>
          <w:trHeight w:val="288"/>
        </w:trPr>
        <w:tc>
          <w:tcPr>
            <w:tcW w:w="3100" w:type="dxa"/>
            <w:noWrap/>
            <w:hideMark/>
          </w:tcPr>
          <w:p w14:paraId="2733A3B5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Veneer and Plywood</w:t>
            </w:r>
          </w:p>
        </w:tc>
        <w:tc>
          <w:tcPr>
            <w:tcW w:w="6746" w:type="dxa"/>
            <w:noWrap/>
            <w:hideMark/>
          </w:tcPr>
          <w:p w14:paraId="031C0C08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4412</w:t>
            </w:r>
          </w:p>
        </w:tc>
      </w:tr>
      <w:tr w:rsidR="00434C0F" w:rsidRPr="00EA615E" w14:paraId="01BD0F06" w14:textId="77777777" w:rsidTr="00385B09">
        <w:trPr>
          <w:trHeight w:val="288"/>
        </w:trPr>
        <w:tc>
          <w:tcPr>
            <w:tcW w:w="3100" w:type="dxa"/>
            <w:noWrap/>
            <w:hideMark/>
          </w:tcPr>
          <w:p w14:paraId="1A051194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Particleboard</w:t>
            </w:r>
          </w:p>
        </w:tc>
        <w:tc>
          <w:tcPr>
            <w:tcW w:w="6746" w:type="dxa"/>
            <w:noWrap/>
            <w:hideMark/>
          </w:tcPr>
          <w:p w14:paraId="4F80229F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4410</w:t>
            </w:r>
          </w:p>
        </w:tc>
      </w:tr>
      <w:tr w:rsidR="00434C0F" w:rsidRPr="00EA615E" w14:paraId="4F3FCCAF" w14:textId="77777777" w:rsidTr="00385B09">
        <w:trPr>
          <w:trHeight w:val="300"/>
        </w:trPr>
        <w:tc>
          <w:tcPr>
            <w:tcW w:w="3100" w:type="dxa"/>
            <w:noWrap/>
            <w:hideMark/>
          </w:tcPr>
          <w:p w14:paraId="4CF603D0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Fibreboard</w:t>
            </w:r>
          </w:p>
        </w:tc>
        <w:tc>
          <w:tcPr>
            <w:tcW w:w="6746" w:type="dxa"/>
            <w:noWrap/>
            <w:hideMark/>
          </w:tcPr>
          <w:p w14:paraId="14FD29F8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4411</w:t>
            </w:r>
          </w:p>
        </w:tc>
      </w:tr>
      <w:tr w:rsidR="00434C0F" w:rsidRPr="00EA615E" w14:paraId="260263D4" w14:textId="77777777" w:rsidTr="00385B09">
        <w:trPr>
          <w:trHeight w:val="288"/>
        </w:trPr>
        <w:tc>
          <w:tcPr>
            <w:tcW w:w="3100" w:type="dxa"/>
            <w:noWrap/>
            <w:hideMark/>
          </w:tcPr>
          <w:p w14:paraId="5D9C3B40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Mechanical Pulp</w:t>
            </w:r>
          </w:p>
        </w:tc>
        <w:tc>
          <w:tcPr>
            <w:tcW w:w="6746" w:type="dxa"/>
            <w:noWrap/>
            <w:hideMark/>
          </w:tcPr>
          <w:p w14:paraId="4D99F2BF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4701</w:t>
            </w:r>
          </w:p>
        </w:tc>
      </w:tr>
      <w:tr w:rsidR="00434C0F" w:rsidRPr="00EA615E" w14:paraId="0CEEFD5C" w14:textId="77777777" w:rsidTr="00385B09">
        <w:trPr>
          <w:trHeight w:val="288"/>
        </w:trPr>
        <w:tc>
          <w:tcPr>
            <w:tcW w:w="3100" w:type="dxa"/>
            <w:noWrap/>
            <w:hideMark/>
          </w:tcPr>
          <w:p w14:paraId="44BC78B5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lastRenderedPageBreak/>
              <w:t>Chemical and Semi-chemical pulp</w:t>
            </w:r>
          </w:p>
        </w:tc>
        <w:tc>
          <w:tcPr>
            <w:tcW w:w="6746" w:type="dxa"/>
            <w:noWrap/>
            <w:hideMark/>
          </w:tcPr>
          <w:p w14:paraId="0D6F968B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4703, 4704, 4705</w:t>
            </w:r>
          </w:p>
        </w:tc>
      </w:tr>
      <w:tr w:rsidR="00434C0F" w:rsidRPr="00EA615E" w14:paraId="7075DA25" w14:textId="77777777" w:rsidTr="00385B09">
        <w:trPr>
          <w:trHeight w:val="288"/>
        </w:trPr>
        <w:tc>
          <w:tcPr>
            <w:tcW w:w="3100" w:type="dxa"/>
            <w:noWrap/>
            <w:hideMark/>
          </w:tcPr>
          <w:p w14:paraId="477A6200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Other Fibre Pulp</w:t>
            </w:r>
          </w:p>
        </w:tc>
        <w:tc>
          <w:tcPr>
            <w:tcW w:w="6746" w:type="dxa"/>
            <w:noWrap/>
            <w:hideMark/>
          </w:tcPr>
          <w:p w14:paraId="3D0E80F4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4706</w:t>
            </w:r>
          </w:p>
        </w:tc>
      </w:tr>
      <w:tr w:rsidR="00434C0F" w:rsidRPr="00EA615E" w14:paraId="600F9BDF" w14:textId="77777777" w:rsidTr="00385B09">
        <w:trPr>
          <w:trHeight w:val="288"/>
        </w:trPr>
        <w:tc>
          <w:tcPr>
            <w:tcW w:w="3100" w:type="dxa"/>
            <w:noWrap/>
            <w:hideMark/>
          </w:tcPr>
          <w:p w14:paraId="743E9E8C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Waste Paper</w:t>
            </w:r>
          </w:p>
        </w:tc>
        <w:tc>
          <w:tcPr>
            <w:tcW w:w="6746" w:type="dxa"/>
            <w:noWrap/>
            <w:hideMark/>
          </w:tcPr>
          <w:p w14:paraId="21554A49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4707</w:t>
            </w:r>
          </w:p>
        </w:tc>
      </w:tr>
      <w:tr w:rsidR="00434C0F" w:rsidRPr="00EA615E" w14:paraId="7F628CC9" w14:textId="77777777" w:rsidTr="00385B09">
        <w:trPr>
          <w:trHeight w:val="288"/>
        </w:trPr>
        <w:tc>
          <w:tcPr>
            <w:tcW w:w="3100" w:type="dxa"/>
            <w:noWrap/>
            <w:hideMark/>
          </w:tcPr>
          <w:p w14:paraId="51DBB38B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Newsprint</w:t>
            </w:r>
          </w:p>
        </w:tc>
        <w:tc>
          <w:tcPr>
            <w:tcW w:w="6746" w:type="dxa"/>
            <w:noWrap/>
            <w:hideMark/>
          </w:tcPr>
          <w:p w14:paraId="7483CD29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480100</w:t>
            </w:r>
          </w:p>
        </w:tc>
      </w:tr>
      <w:tr w:rsidR="00434C0F" w:rsidRPr="00EA615E" w14:paraId="5F5F5B1F" w14:textId="77777777" w:rsidTr="00385B09">
        <w:trPr>
          <w:trHeight w:val="288"/>
        </w:trPr>
        <w:tc>
          <w:tcPr>
            <w:tcW w:w="3100" w:type="dxa"/>
            <w:noWrap/>
            <w:hideMark/>
          </w:tcPr>
          <w:p w14:paraId="02BFF4A2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PWP</w:t>
            </w:r>
          </w:p>
        </w:tc>
        <w:tc>
          <w:tcPr>
            <w:tcW w:w="6746" w:type="dxa"/>
            <w:noWrap/>
            <w:hideMark/>
          </w:tcPr>
          <w:p w14:paraId="191896D6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4802</w:t>
            </w:r>
          </w:p>
        </w:tc>
      </w:tr>
      <w:tr w:rsidR="00434C0F" w:rsidRPr="00EA615E" w14:paraId="013E38D0" w14:textId="77777777" w:rsidTr="00385B09">
        <w:trPr>
          <w:trHeight w:val="300"/>
        </w:trPr>
        <w:tc>
          <w:tcPr>
            <w:tcW w:w="3100" w:type="dxa"/>
            <w:noWrap/>
            <w:hideMark/>
          </w:tcPr>
          <w:p w14:paraId="68379AC3" w14:textId="77777777" w:rsidR="00434C0F" w:rsidRPr="00EA615E" w:rsidRDefault="00434C0F" w:rsidP="00385B09">
            <w:pPr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 xml:space="preserve">Paper and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en-DE"/>
              </w:rPr>
              <w:t>P</w:t>
            </w:r>
            <w:proofErr w:type="spellStart"/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aperboard</w:t>
            </w:r>
            <w:proofErr w:type="spellEnd"/>
          </w:p>
        </w:tc>
        <w:tc>
          <w:tcPr>
            <w:tcW w:w="6746" w:type="dxa"/>
            <w:noWrap/>
            <w:hideMark/>
          </w:tcPr>
          <w:p w14:paraId="38391743" w14:textId="77777777" w:rsidR="00434C0F" w:rsidRPr="00EA615E" w:rsidRDefault="00434C0F" w:rsidP="00385B0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</w:pPr>
            <w:r w:rsidRPr="00EA615E">
              <w:rPr>
                <w:rFonts w:ascii="Calibri" w:eastAsia="Times New Roman" w:hAnsi="Calibri" w:cs="Calibri"/>
                <w:sz w:val="20"/>
                <w:szCs w:val="20"/>
                <w:lang w:val="en-DE" w:eastAsia="en-DE"/>
              </w:rPr>
              <w:t>4804, 4805, 480620, 480630, 480640, 4807, 4808, 4810, 4811, 481500, 4819, 4821, 4823</w:t>
            </w:r>
          </w:p>
        </w:tc>
      </w:tr>
    </w:tbl>
    <w:p w14:paraId="4B164460" w14:textId="77777777" w:rsidR="00434C0F" w:rsidRDefault="00434C0F" w:rsidP="00434C0F">
      <w:pPr>
        <w:spacing w:after="0"/>
      </w:pPr>
    </w:p>
    <w:p w14:paraId="3049F549" w14:textId="77777777" w:rsidR="00434C0F" w:rsidRPr="00EA615E" w:rsidRDefault="00434C0F" w:rsidP="00434C0F">
      <w:pPr>
        <w:rPr>
          <w:lang w:val="en-US"/>
        </w:rPr>
        <w:sectPr w:rsidR="00434C0F" w:rsidRPr="00EA615E">
          <w:footerReference w:type="default" r:id="rId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053D1BB" w14:textId="77777777" w:rsidR="00434C0F" w:rsidRDefault="00434C0F" w:rsidP="00434C0F">
      <w:pPr>
        <w:pStyle w:val="Heading1"/>
      </w:pPr>
      <w:r>
        <w:lastRenderedPageBreak/>
        <w:t>Data Extraction and Calculation for Forest Growing Stock and Forest Stock Growth</w:t>
      </w:r>
    </w:p>
    <w:p w14:paraId="4AA1AF1A" w14:textId="77777777" w:rsidR="00434C0F" w:rsidRPr="00EA615E" w:rsidRDefault="00434C0F" w:rsidP="00434C0F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lang w:val="en-US"/>
        </w:rPr>
      </w:pPr>
      <w:r w:rsidRPr="00EA615E">
        <w:rPr>
          <w:lang w:val="en-US"/>
        </w:rPr>
        <w:t>Overview</w:t>
      </w:r>
    </w:p>
    <w:p w14:paraId="37C74CD1" w14:textId="77777777" w:rsidR="00434C0F" w:rsidRDefault="00434C0F" w:rsidP="00434C0F">
      <w:pPr>
        <w:pStyle w:val="NormalWeb"/>
      </w:pPr>
      <w:r>
        <w:t xml:space="preserve">This dataset contains information on forest growing stock and forest stock growth for 180 countries, as considered in the </w:t>
      </w:r>
      <w:proofErr w:type="spellStart"/>
      <w:r>
        <w:t>TiMBA</w:t>
      </w:r>
      <w:proofErr w:type="spellEnd"/>
      <w:r>
        <w:t xml:space="preserve"> model. While data on forest area and forest growth for the reporting year 2020 is adequately provided by the </w:t>
      </w:r>
      <w:r>
        <w:rPr>
          <w:rStyle w:val="Strong"/>
        </w:rPr>
        <w:t>FRA 2020</w:t>
      </w:r>
      <w:r>
        <w:t xml:space="preserve"> (Forest Resources Assessment), the data on growing stock and stock growth is fragmented and not fully reported for all countries. This README explains the methodology used to</w:t>
      </w:r>
      <w:r>
        <w:rPr>
          <w:lang w:val="en-US"/>
        </w:rPr>
        <w:t xml:space="preserve"> extract data as well as</w:t>
      </w:r>
      <w:r>
        <w:t xml:space="preserve"> fill in the data gaps and provide consistent values for forest growing stock and stock growth across all countries.</w:t>
      </w:r>
    </w:p>
    <w:p w14:paraId="287617B3" w14:textId="77777777" w:rsidR="00A331F0" w:rsidRPr="00434C0F" w:rsidRDefault="00434C0F">
      <w:pPr>
        <w:rPr>
          <w:lang w:val="en-DE"/>
        </w:rPr>
      </w:pPr>
    </w:p>
    <w:sectPr w:rsidR="00A331F0" w:rsidRPr="00434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4426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AB5A1" w14:textId="77777777" w:rsidR="00EA615E" w:rsidRDefault="00434C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76DB2C" w14:textId="77777777" w:rsidR="00EA615E" w:rsidRDefault="00434C0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2ABB"/>
    <w:multiLevelType w:val="hybridMultilevel"/>
    <w:tmpl w:val="B2644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C264B"/>
    <w:multiLevelType w:val="hybridMultilevel"/>
    <w:tmpl w:val="B80C433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C75C9"/>
    <w:multiLevelType w:val="hybridMultilevel"/>
    <w:tmpl w:val="F154B66A"/>
    <w:lvl w:ilvl="0" w:tplc="7F24F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0F"/>
    <w:rsid w:val="00434C0F"/>
    <w:rsid w:val="006B17F2"/>
    <w:rsid w:val="00933188"/>
    <w:rsid w:val="009B7D72"/>
    <w:rsid w:val="00AA4C1E"/>
    <w:rsid w:val="00B94A92"/>
    <w:rsid w:val="00DF7555"/>
    <w:rsid w:val="00F2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C5ACB"/>
  <w15:chartTrackingRefBased/>
  <w15:docId w15:val="{1957539C-C393-49CC-B243-3061E237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0F"/>
  </w:style>
  <w:style w:type="paragraph" w:styleId="Heading1">
    <w:name w:val="heading 1"/>
    <w:basedOn w:val="Normal"/>
    <w:link w:val="Heading1Char"/>
    <w:uiPriority w:val="9"/>
    <w:qFormat/>
    <w:rsid w:val="00434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C0F"/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DE"/>
    </w:rPr>
  </w:style>
  <w:style w:type="character" w:customStyle="1" w:styleId="Heading2Char">
    <w:name w:val="Heading 2 Char"/>
    <w:basedOn w:val="DefaultParagraphFont"/>
    <w:link w:val="Heading2"/>
    <w:uiPriority w:val="9"/>
    <w:rsid w:val="00434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3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Strong">
    <w:name w:val="Strong"/>
    <w:basedOn w:val="DefaultParagraphFont"/>
    <w:uiPriority w:val="22"/>
    <w:qFormat/>
    <w:rsid w:val="00434C0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3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C0F"/>
  </w:style>
  <w:style w:type="table" w:styleId="TableGrid">
    <w:name w:val="Table Grid"/>
    <w:basedOn w:val="TableNormal"/>
    <w:uiPriority w:val="39"/>
    <w:rsid w:val="00434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Schier</dc:creator>
  <cp:keywords/>
  <dc:description/>
  <cp:lastModifiedBy>Franziska Schier</cp:lastModifiedBy>
  <cp:revision>1</cp:revision>
  <dcterms:created xsi:type="dcterms:W3CDTF">2025-02-13T09:23:00Z</dcterms:created>
  <dcterms:modified xsi:type="dcterms:W3CDTF">2025-02-13T09:23:00Z</dcterms:modified>
</cp:coreProperties>
</file>