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b w:val="1"/>
          <w:color w:val="1c4587"/>
          <w:sz w:val="28"/>
          <w:szCs w:val="28"/>
        </w:rPr>
      </w:pPr>
      <w:commentRangeStart w:id="0"/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Anexo II -  Integração com o Gestor Eletrônico de Documentos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Impressões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dward Neto" w:id="0" w:date="2015-04-16T19:53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Especificar detalhadamente com será a integração das aplicações com o GED.</w:t>
      </w:r>
    </w:p>
  </w:comment>
  <w:comment w:author="Edward Neto" w:id="1" w:date="2015-04-16T20:16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acordo com a legislação corrente todos os documentos digitais devem ser tramitados de forma física.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