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Módulo: CRV (e-CRV)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Sub-módulos: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dos Dados do Veículo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Placa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Número do CRLV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Marca/Modelo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Ano/Modelo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Chassi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Renavam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Capacidade de Passageiros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Município da placa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Proprietário do Veículo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Alienação Fiduciária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Número do Processo de Cadastro do Veículo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Data da Inclusão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Ordem de Cadastro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Utilização do Veículo (Tipo de atividade)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Turismo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Fretamento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Escolar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Outros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Tipo de Veículo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Ônibus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Micro-ônibus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Van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Tipo de Cadastro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Inclusão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Renovação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Observação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Solicitação de Vistoria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Número (id)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Data da solicitação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Dados da Empresa (FK - CADU)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Registro AGR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CNPJ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Razão Social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Endereço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Cidade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Telefone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Informação dos dados do Laudo de Vistoria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Vistoriadora (Consultar CADU - Vistoriadoras Cadastradas)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Data do Laudo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Data de Validade (condicional Ano de fabricação do Veículo)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Observação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Baixa do Veículo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Data da Baixa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Funções e Restrições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 Cadastrar os dados do veículo seguindo as restrições: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O cadastro do veículo só pode ser feito se: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A empresa estiver cadastrada e ativa no CADU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O CRC estiver ativo e </w:t>
      </w:r>
      <w:r w:rsidDel="00000000" w:rsidR="00000000" w:rsidRPr="00000000">
        <w:rPr>
          <w:b w:val="1"/>
          <w:sz w:val="21"/>
          <w:szCs w:val="21"/>
          <w:rtl w:val="0"/>
        </w:rPr>
        <w:t xml:space="preserve">VIGENTE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Não estiver com nenhum bloqueio (STATUS) judicial pela AGR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No campo 'Proprietário do Veículo' o proprietário deve ser ou a própria empresa (cnpj) ou um dos sócios (cpf) </w:t>
      </w:r>
      <w:r w:rsidDel="00000000" w:rsidR="00000000" w:rsidRPr="00000000">
        <w:rPr>
          <w:b w:val="1"/>
          <w:sz w:val="21"/>
          <w:szCs w:val="21"/>
          <w:rtl w:val="0"/>
        </w:rPr>
        <w:t xml:space="preserve">SOMENTE</w:t>
      </w:r>
      <w:r w:rsidDel="00000000" w:rsidR="00000000" w:rsidRPr="00000000">
        <w:rPr>
          <w:sz w:val="21"/>
          <w:szCs w:val="21"/>
          <w:rtl w:val="0"/>
        </w:rPr>
        <w:t xml:space="preserve">, portanto, para agilizar o processo, deve ser importado do CADU os nomes da empresa e dos sócios e gerar uma lista para seleção (semelhante a uma combo box)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Ordem de cadastro: na listagem/adição dos veículos da empresa, cada veículo tem uma numeração (com o início em 1), após um veículo ser cadastrado esse número não pode pertencer a um veículo diferente e esse número é sequencial. Ex.: Uma empresa possui 3 veículos cadastrados, v1 - ordem de cadastro 1, v2 - ordem de cadastro 2, v3 - ordem de cadastro 3. É feita uma baixa no v2 e em seguida um novo veículo é adicionado. Esse v4 irá possuir ordem de cadastro 4, a ordem de cadastro 2 ficará inativa e não pode ser mais utilizada no sistema, somente para fins de histórico.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A 'Utilização do Veículo' equivale aos 'Tipos de Atividades' cadastrados no CADU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Deve permitir o usuário gerar o FSV online a partir dos dados informados com autenticação do documento feita pelo sistema, após inserir os dados do veículo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Deve permitir o usuário inserir os dados do 'Laudo de Vistoria' somente após o FSV ser salvo.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A condicional da data de validade da vistoria segue abaixo: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Veículos com mais de 10 anos de fabricação: 6 meses de validade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Veículos com menos de 10 anos de fabricação: 1 ano de validade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Veículos para transporte escolar: Semestralmente deve ser feita uma vistoria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O sistema deve calcular a data de validade a partir dos parâmetros 'data da inclusão' e 'ano/modelo' do veículo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A 'Baixa do Veículo' </w:t>
      </w:r>
      <w:r w:rsidDel="00000000" w:rsidR="00000000" w:rsidRPr="00000000">
        <w:rPr>
          <w:b w:val="1"/>
          <w:sz w:val="21"/>
          <w:szCs w:val="21"/>
          <w:rtl w:val="0"/>
        </w:rPr>
        <w:t xml:space="preserve">SOMENTE</w:t>
      </w:r>
      <w:r w:rsidDel="00000000" w:rsidR="00000000" w:rsidRPr="00000000">
        <w:rPr>
          <w:sz w:val="21"/>
          <w:szCs w:val="21"/>
          <w:rtl w:val="0"/>
        </w:rPr>
        <w:t xml:space="preserve"> pode ser feita se o CRC e o CRV estiverem ativos e vigentes e o sistema deve gerar: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O requerimento para baixa do veículo que deve ser entregue in loco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O comprovante de Baixa de Cadastro de veículo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Após a Baixa do Veículo, o status do veículo deve ficar como 'Baixa de Cadastro' e deve ficar salvo para histórico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sz w:val="21"/>
          <w:szCs w:val="21"/>
          <w:rtl w:val="0"/>
        </w:rPr>
        <w:t xml:space="preserve">Caso o veículo volte a ser utilizado pela mesma ou outra empresa, um novo cadastro deve ser feito com um novo ID. Porém SOMENTE se o status anterior estiver como 'Baixa de Cadastro'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rFonts w:ascii="Arial" w:cs="Arial" w:eastAsia="Arial" w:hAnsi="Arial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