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Aviso importante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Tendo em vista não ser competência da AGR a regulação, controle e fiscalização do serviço de transporte na Região Metropolitana de Goiânia nos termos da Lei Estadual  n° 18.673/2014, bem como na Lei Complementar  n° 27/1999, esta Autarquia informa para os devidos fins que não se responsabilizará por Emissão de Licença de Viagem, de qualquer modalidade, por este sistema para transporte de passageiros entre o município de </w:t>
      </w:r>
      <w:r w:rsidDel="00000000" w:rsidR="00000000" w:rsidRPr="00000000">
        <w:rPr>
          <w:b w:val="1"/>
          <w:rtl w:val="0"/>
        </w:rPr>
        <w:t xml:space="preserve">Goiânia</w:t>
      </w:r>
      <w:r w:rsidDel="00000000" w:rsidR="00000000" w:rsidRPr="00000000">
        <w:rPr>
          <w:rtl w:val="0"/>
        </w:rPr>
        <w:t xml:space="preserve"> e os municípios de: </w:t>
      </w:r>
      <w:r w:rsidDel="00000000" w:rsidR="00000000" w:rsidRPr="00000000">
        <w:rPr>
          <w:b w:val="1"/>
          <w:rtl w:val="0"/>
        </w:rPr>
        <w:t xml:space="preserve">Abadia de Goiás, Aparecida de Goiânia, Aragoiânia, Bela Vista de Goiás, Bonfinópolis, Brazabrantes, Caldazinha, Goianira, Goianápolis, Guapó, Hidrolândia, Nerópolis, Nova Veneza, Santo Antônio de Goiás, Senador Canedo, Terezópolis e Trindade.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