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Tutorial: Cadastro de Veículos.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Sistema: Portal de Sistemas da AGR.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Perfil: Usuário Externo da AGR.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empresas que já possuem cadastro ativo e querem cadastrar seus veículos, devem fazer da seguinte maneira.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 – Acessar ao Portal de Sistemas da AGR com seu próprio login.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drawing>
          <wp:inline distB="0" distT="0" distL="0" distR="0">
            <wp:extent cx="6570980" cy="410654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106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 – Acessar ao “Módulo de Transporte”.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sz w:val="24"/>
          <w:szCs w:val="24"/>
        </w:rPr>
      </w:pPr>
      <w:r w:rsidDel="00000000" w:rsidR="00000000" w:rsidRPr="00000000">
        <w:drawing>
          <wp:inline distB="0" distT="0" distL="0" distR="0">
            <wp:extent cx="5764408" cy="3602476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4408" cy="3602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 – Acessar ao “Cadastrar Veículo”.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sz w:val="24"/>
          <w:szCs w:val="24"/>
        </w:rPr>
      </w:pPr>
      <w:r w:rsidDel="00000000" w:rsidR="00000000" w:rsidRPr="00000000">
        <w:drawing>
          <wp:inline distB="0" distT="0" distL="0" distR="0">
            <wp:extent cx="6231277" cy="3894247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1277" cy="3894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 – Clique em “+ Novo”.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sz w:val="24"/>
          <w:szCs w:val="24"/>
        </w:rPr>
      </w:pPr>
      <w:r w:rsidDel="00000000" w:rsidR="00000000" w:rsidRPr="00000000">
        <w:drawing>
          <wp:inline distB="0" distT="0" distL="0" distR="0">
            <wp:extent cx="5230843" cy="3269023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0843" cy="3269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 – Ira abrir o formulário de cadastro de veículo, coloque a placa do veículo, de um ENTER ou simplesmente clique fora do campo e automaticamente o Sistema irá buscar dados do veículo na base de dados do DETRAN, assim, preenchendo algumas informações, ficando apenas as que estão marcadas com uma “Seta” para serem preenchidas.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sz w:val="24"/>
          <w:szCs w:val="24"/>
        </w:rPr>
      </w:pPr>
      <w:r w:rsidDel="00000000" w:rsidR="00000000" w:rsidRPr="00000000">
        <w:drawing>
          <wp:inline distB="0" distT="0" distL="0" distR="0">
            <wp:extent cx="5573849" cy="3483386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3849" cy="3483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 – Por último, na parte baixa da tela será as informações do seguro, se atente especialmente pelo “Tipo”, pois existe dois, Coletivo e Individual, se deixar em Individual e colocar informações de um seguro Coletivo e “Salvar” ira dar erro no próximo veículo, a vigência é a data que o seguro ira vencer. Após feito isso clique em “Salvar”.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drawing>
          <wp:inline distB="0" distT="0" distL="0" distR="0">
            <wp:extent cx="6570980" cy="4878309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878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 – Após clicar em “Salvar” automaticamente ira para tela dos veículos da empresa, note que ele aparecera com o status “Validação”, agora clique em CRV (</w:t>
      </w:r>
      <w:r w:rsidDel="00000000" w:rsidR="00000000" w:rsidRPr="00000000">
        <w:rPr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ertificado de </w:t>
      </w:r>
      <w:r w:rsidDel="00000000" w:rsidR="00000000" w:rsidRPr="00000000">
        <w:rPr>
          <w:b w:val="1"/>
          <w:sz w:val="24"/>
          <w:szCs w:val="24"/>
          <w:rtl w:val="0"/>
        </w:rPr>
        <w:t xml:space="preserve">R</w:t>
      </w:r>
      <w:r w:rsidDel="00000000" w:rsidR="00000000" w:rsidRPr="00000000">
        <w:rPr>
          <w:sz w:val="24"/>
          <w:szCs w:val="24"/>
          <w:rtl w:val="0"/>
        </w:rPr>
        <w:t xml:space="preserve">egistro </w:t>
      </w:r>
      <w:r w:rsidDel="00000000" w:rsidR="00000000" w:rsidRPr="00000000">
        <w:rPr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sz w:val="24"/>
          <w:szCs w:val="24"/>
          <w:rtl w:val="0"/>
        </w:rPr>
        <w:t xml:space="preserve">eicular).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sz w:val="24"/>
          <w:szCs w:val="24"/>
        </w:rPr>
      </w:pPr>
      <w:r w:rsidDel="00000000" w:rsidR="00000000" w:rsidRPr="00000000">
        <w:drawing>
          <wp:inline distB="0" distT="0" distL="0" distR="0">
            <wp:extent cx="5564321" cy="3477431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4321" cy="3477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 – Leia atentamente esse quadro, pois contém informações sobre a vistoria do veículo. Após feita a leitura clique em “Solicitar Vistoria”.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sz w:val="24"/>
          <w:szCs w:val="24"/>
        </w:rPr>
      </w:pPr>
      <w:r w:rsidDel="00000000" w:rsidR="00000000" w:rsidRPr="00000000">
        <w:drawing>
          <wp:inline distB="0" distT="0" distL="0" distR="0">
            <wp:extent cx="5859687" cy="3662022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9687" cy="3662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 – Com base nas informações lidas na tela anterior marque a caixa se o veículo for 0 km, senão, deixe em branco, depois escolha a vistoriadora a ser feita a vistoria e clique em “Salvar”.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sz w:val="24"/>
          <w:szCs w:val="24"/>
        </w:rPr>
      </w:pPr>
      <w:r w:rsidDel="00000000" w:rsidR="00000000" w:rsidRPr="00000000">
        <w:drawing>
          <wp:inline distB="0" distT="0" distL="0" distR="0">
            <wp:extent cx="5493599" cy="3433234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3599" cy="3433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 – Ao clicar em “Salvar” irá ser fechada a tela e voltar para a tela do CRV (</w:t>
      </w:r>
      <w:r w:rsidDel="00000000" w:rsidR="00000000" w:rsidRPr="00000000">
        <w:rPr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ertificado de </w:t>
      </w:r>
      <w:r w:rsidDel="00000000" w:rsidR="00000000" w:rsidRPr="00000000">
        <w:rPr>
          <w:b w:val="1"/>
          <w:sz w:val="24"/>
          <w:szCs w:val="24"/>
          <w:rtl w:val="0"/>
        </w:rPr>
        <w:t xml:space="preserve">R</w:t>
      </w:r>
      <w:r w:rsidDel="00000000" w:rsidR="00000000" w:rsidRPr="00000000">
        <w:rPr>
          <w:sz w:val="24"/>
          <w:szCs w:val="24"/>
          <w:rtl w:val="0"/>
        </w:rPr>
        <w:t xml:space="preserve">egistro </w:t>
      </w:r>
      <w:r w:rsidDel="00000000" w:rsidR="00000000" w:rsidRPr="00000000">
        <w:rPr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sz w:val="24"/>
          <w:szCs w:val="24"/>
          <w:rtl w:val="0"/>
        </w:rPr>
        <w:t xml:space="preserve">eicular), perceba o status sublinhado e clique em “Imprimir FSV” (</w:t>
      </w:r>
      <w:r w:rsidDel="00000000" w:rsidR="00000000" w:rsidRPr="00000000">
        <w:rPr>
          <w:b w:val="1"/>
          <w:sz w:val="24"/>
          <w:szCs w:val="24"/>
          <w:rtl w:val="0"/>
        </w:rPr>
        <w:t xml:space="preserve">F</w:t>
      </w:r>
      <w:r w:rsidDel="00000000" w:rsidR="00000000" w:rsidRPr="00000000">
        <w:rPr>
          <w:sz w:val="24"/>
          <w:szCs w:val="24"/>
          <w:rtl w:val="0"/>
        </w:rPr>
        <w:t xml:space="preserve">ormulário de </w:t>
      </w:r>
      <w:r w:rsidDel="00000000" w:rsidR="00000000" w:rsidRPr="00000000">
        <w:rPr>
          <w:b w:val="1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olicitação de </w:t>
      </w:r>
      <w:r w:rsidDel="00000000" w:rsidR="00000000" w:rsidRPr="00000000">
        <w:rPr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sz w:val="24"/>
          <w:szCs w:val="24"/>
          <w:rtl w:val="0"/>
        </w:rPr>
        <w:t xml:space="preserve">istoria), com esse formulário em mãos deve-se comparecer na vistoriadora e realizar a vistoria.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sz w:val="24"/>
          <w:szCs w:val="24"/>
        </w:rPr>
      </w:pPr>
      <w:r w:rsidDel="00000000" w:rsidR="00000000" w:rsidRPr="00000000">
        <w:drawing>
          <wp:inline distB="0" distT="0" distL="0" distR="0">
            <wp:extent cx="5519017" cy="3449119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017" cy="3449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11 – Após a vistoria ser feita volte nessa tela e clique em “Informar Resultado Vistoria”.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sz w:val="24"/>
          <w:szCs w:val="24"/>
        </w:rPr>
      </w:pPr>
      <w:r w:rsidDel="00000000" w:rsidR="00000000" w:rsidRPr="00000000">
        <w:drawing>
          <wp:inline distB="0" distT="0" distL="0" distR="0">
            <wp:extent cx="5735824" cy="3584613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5824" cy="3584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 – Nessa tela ira ser colocado apenas à data que foi feita a inspeção que consta no laudo e clique em “Salvar”.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sz w:val="24"/>
          <w:szCs w:val="24"/>
        </w:rPr>
      </w:pPr>
      <w:r w:rsidDel="00000000" w:rsidR="00000000" w:rsidRPr="00000000">
        <w:drawing>
          <wp:inline distB="0" distT="0" distL="0" distR="0">
            <wp:extent cx="5897799" cy="3685839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7799" cy="3685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13 – Perceba o status que mudou para “Aguarde”, clique em “Voltar”.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sz w:val="24"/>
          <w:szCs w:val="24"/>
        </w:rPr>
      </w:pPr>
      <w:r w:rsidDel="00000000" w:rsidR="00000000" w:rsidRPr="00000000">
        <w:drawing>
          <wp:inline distB="0" distT="0" distL="0" distR="0">
            <wp:extent cx="5764408" cy="3602476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4408" cy="3602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14 – Pronto, seu veículo está ok faltando apenas uma ativação por parte da AGR, nesse momento deve-se trazer os documentos do veículo à AGR para ser feita essa ativação.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sz w:val="24"/>
          <w:szCs w:val="24"/>
        </w:rPr>
      </w:pPr>
      <w:r w:rsidDel="00000000" w:rsidR="00000000" w:rsidRPr="00000000">
        <w:drawing>
          <wp:inline distB="0" distT="0" distL="0" distR="0">
            <wp:extent cx="5783464" cy="3614385"/>
            <wp:effectExtent b="0" l="0" r="0" t="0"/>
            <wp:docPr id="1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3464" cy="3614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pgSz w:h="16838" w:w="11906"/>
      <w:pgMar w:bottom="709" w:top="136" w:left="851" w:right="707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Cambr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before="0" w:line="240" w:lineRule="auto"/>
      <w:contextualSpacing w:val="0"/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before="0" w:line="240" w:lineRule="auto"/>
      <w:contextualSpacing w:val="0"/>
      <w:jc w:val="center"/>
      <w:rPr>
        <w:rFonts w:ascii="Cambria" w:cs="Cambria" w:eastAsia="Cambria" w:hAnsi="Cambria"/>
        <w:b w:val="0"/>
        <w:sz w:val="22"/>
        <w:szCs w:val="22"/>
      </w:rPr>
    </w:pPr>
    <w:r w:rsidDel="00000000" w:rsidR="00000000" w:rsidRPr="00000000">
      <w:rPr>
        <w:rFonts w:ascii="Cambria" w:cs="Cambria" w:eastAsia="Cambria" w:hAnsi="Cambria"/>
        <w:b w:val="0"/>
        <w:sz w:val="22"/>
        <w:szCs w:val="22"/>
        <w:rtl w:val="0"/>
      </w:rPr>
      <w:t xml:space="preserve">Portal de Sistemas da AGR – </w:t>
    </w:r>
    <w:hyperlink r:id="rId1">
      <w:r w:rsidDel="00000000" w:rsidR="00000000" w:rsidRPr="00000000">
        <w:rPr>
          <w:rFonts w:ascii="Cambria" w:cs="Cambria" w:eastAsia="Cambria" w:hAnsi="Cambria"/>
          <w:b w:val="0"/>
          <w:color w:val="0000ff"/>
          <w:sz w:val="22"/>
          <w:szCs w:val="22"/>
          <w:u w:val="single"/>
          <w:rtl w:val="0"/>
        </w:rPr>
        <w:t xml:space="preserve">www.portal.agr.go.gov.br</w:t>
      </w:r>
    </w:hyperlink>
    <w:hyperlink r:id="rId2">
      <w:r w:rsidDel="00000000" w:rsidR="00000000" w:rsidRPr="00000000">
        <w:rPr>
          <w:rtl w:val="0"/>
        </w:rPr>
      </w:r>
    </w:hyperlink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before="0" w:line="240" w:lineRule="auto"/>
      <w:contextualSpacing w:val="0"/>
      <w:jc w:val="center"/>
      <w:rPr>
        <w:rFonts w:ascii="Cambria" w:cs="Cambria" w:eastAsia="Cambria" w:hAnsi="Cambria"/>
        <w:b w:val="0"/>
        <w:sz w:val="22"/>
        <w:szCs w:val="22"/>
      </w:rPr>
    </w:pPr>
    <w:r w:rsidDel="00000000" w:rsidR="00000000" w:rsidRPr="00000000">
      <w:rPr>
        <w:rFonts w:ascii="Cambria" w:cs="Cambria" w:eastAsia="Cambria" w:hAnsi="Cambria"/>
        <w:b w:val="0"/>
        <w:sz w:val="22"/>
        <w:szCs w:val="22"/>
        <w:rtl w:val="0"/>
      </w:rPr>
      <w:t xml:space="preserve">Coordenação de Tecnologia da Informação</w:t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before="0" w:line="240" w:lineRule="auto"/>
      <w:contextualSpacing w:val="0"/>
      <w:jc w:val="center"/>
      <w:rPr/>
    </w:pPr>
    <w:r w:rsidDel="00000000" w:rsidR="00000000" w:rsidRPr="00000000">
      <w:rPr>
        <w:rFonts w:ascii="Cambria" w:cs="Cambria" w:eastAsia="Cambria" w:hAnsi="Cambria"/>
        <w:b w:val="0"/>
        <w:sz w:val="22"/>
        <w:szCs w:val="22"/>
        <w:rtl w:val="0"/>
      </w:rPr>
      <w:t xml:space="preserve">Agência Goiana de Regulação, Controle e Fiscalização de Serviços Públicos – AGR.</w:t>
    </w: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167" w:before="0" w:line="240" w:lineRule="auto"/>
      <w:contextualSpacing w:val="0"/>
      <w:jc w:val="right"/>
      <w:rPr/>
    </w:pPr>
    <w:r w:rsidDel="00000000" w:rsidR="00000000" w:rsidRPr="00000000">
      <w:rPr>
        <w:rFonts w:ascii="Calibri" w:cs="Calibri" w:eastAsia="Calibri" w:hAnsi="Calibri"/>
        <w:b w:val="0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167" w:before="0" w:line="240" w:lineRule="auto"/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before="284" w:line="240" w:lineRule="auto"/>
      <w:contextualSpacing w:val="0"/>
      <w:jc w:val="right"/>
      <w:rPr/>
    </w:pPr>
    <w:r w:rsidDel="00000000" w:rsidR="00000000" w:rsidRPr="00000000">
      <w:drawing>
        <wp:inline distB="0" distT="0" distL="0" distR="0">
          <wp:extent cx="1114876" cy="714664"/>
          <wp:effectExtent b="0" l="0" r="0" t="0"/>
          <wp:docPr id="15" name="image30.png"/>
          <a:graphic>
            <a:graphicData uri="http://schemas.openxmlformats.org/drawingml/2006/picture">
              <pic:pic>
                <pic:nvPicPr>
                  <pic:cNvPr id="0" name="image3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14876" cy="71466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before="0" w:line="240" w:lineRule="auto"/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4.png"/><Relationship Id="rId10" Type="http://schemas.openxmlformats.org/officeDocument/2006/relationships/image" Target="media/image18.png"/><Relationship Id="rId13" Type="http://schemas.openxmlformats.org/officeDocument/2006/relationships/image" Target="media/image19.png"/><Relationship Id="rId12" Type="http://schemas.openxmlformats.org/officeDocument/2006/relationships/image" Target="media/image20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2.png"/><Relationship Id="rId15" Type="http://schemas.openxmlformats.org/officeDocument/2006/relationships/image" Target="media/image22.png"/><Relationship Id="rId14" Type="http://schemas.openxmlformats.org/officeDocument/2006/relationships/image" Target="media/image24.png"/><Relationship Id="rId17" Type="http://schemas.openxmlformats.org/officeDocument/2006/relationships/image" Target="media/image27.png"/><Relationship Id="rId16" Type="http://schemas.openxmlformats.org/officeDocument/2006/relationships/image" Target="media/image23.png"/><Relationship Id="rId5" Type="http://schemas.openxmlformats.org/officeDocument/2006/relationships/image" Target="media/image6.png"/><Relationship Id="rId19" Type="http://schemas.openxmlformats.org/officeDocument/2006/relationships/header" Target="header1.xml"/><Relationship Id="rId6" Type="http://schemas.openxmlformats.org/officeDocument/2006/relationships/image" Target="media/image11.png"/><Relationship Id="rId18" Type="http://schemas.openxmlformats.org/officeDocument/2006/relationships/image" Target="media/image29.png"/><Relationship Id="rId7" Type="http://schemas.openxmlformats.org/officeDocument/2006/relationships/image" Target="media/image7.png"/><Relationship Id="rId8" Type="http://schemas.openxmlformats.org/officeDocument/2006/relationships/image" Target="media/image13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://www.portal.agr.go.gov.br" TargetMode="External"/><Relationship Id="rId2" Type="http://schemas.openxmlformats.org/officeDocument/2006/relationships/hyperlink" Target="http://www.portal.agr.go.gov.br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0.png"/></Relationships>
</file>