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 Interno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Cadastro Linhas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GET - quais dados da linha publicados no chamamentos público. Pauta reunião  comissão do CHAMPUB.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empresa é que determina quais são os trechos. A AGR determina somente a Linha e Itinerário (por qual rodovia)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 CADU, ao escolher transporte regular, não aparecerá a opção resolução.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Situação da Linha: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Ativa - já possui empresa operando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Inativa - não possui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Cadastro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Cadastro de Infraestrutura - nome é cadastro de infraestrutura ou cadastro de estabelecimento ? pegar na legislação.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Há necessidade de cadastro de motoristas já que é rotativo e somente a fiscalização poderá checar o real motorista.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No cadastro de seções do projeto técnico, a empresa irá propor seções que podem não existir como “localidade”. As seções cadastradas no projeto técnico ficarão com status de validação até o de acordo do usuário interno da AGR.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 opção semanal ficará como “dias da semana”.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 projeto técnico poderá ser inseridas todas as informações do quadro km e quadro de horário.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Implementar envio eletrônico (ex via webservice)  dos dados do quadro movimento de passageiros.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Quais os dados que serão enviados ? Luis Maurício vai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Troca de informações com SEFAZ com recolhimento de icms.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Informar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Semana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TJ - autenticador de certificado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Validação da Documentação Física: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Passa pela comissão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 caso de não validada, tem alguma resposta para a empresa? por email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Depois da emissão da resolução, como a empresa escolhe quais linhas quer operar.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4057-6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11917-2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 Externo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Inserção dos dados da empresa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Inserção dos dados de Habilitação da Empresa - obrigatório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Inserção dos dados de Projeto Técnico, Veículos, Motoristas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