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bookmarkStart w:id="0" w:name="_GoBack"/>
      <w:bookmarkEnd w:id="0"/>
      <w:r>
        <w:t>卓越软件工程项目实践精炼版</w:t>
      </w:r>
    </w:p>
    <w:p>
      <w:r>
        <w:t>第2至8实践周  |  完整智慧学习平台  |  每组每周汇报约30分钟</w:t>
      </w:r>
    </w:p>
    <w:p>
      <w:pPr>
        <w:pStyle w:val="4"/>
      </w:pPr>
      <w:r>
        <w:t>最终交付目标</w:t>
      </w:r>
    </w:p>
    <w:p>
      <w:r>
        <w:t>每组交付一个可运行、模块互通的完整智慧学习平台。基础能力包括用户与角色、课程资源、学习活动、练习反馈、学习记录与管理，并结合选题接入至少一项智能学习能力。第2周确认具体必做范围。</w:t>
      </w:r>
    </w:p>
    <w:p>
      <w:r>
        <w:t>验收流程：发布资源或任务 → 学生学习与练习 → 获得反馈 → 保存学习记录 → 学生查看进度、教师查看学习情况。每人主责一个或几个模块的需求、设计、实现与测试。</w:t>
      </w:r>
    </w:p>
    <w:p>
      <w:pPr>
        <w:pStyle w:val="4"/>
      </w:pPr>
      <w:r>
        <w:t>每周做什么 汇报看什么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5256"/>
        <w:gridCol w:w="33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84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实践周</w:t>
            </w:r>
          </w:p>
        </w:tc>
        <w:tc>
          <w:tcPr>
            <w:tcW w:w="5256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小组成果与汇报重点</w:t>
            </w:r>
          </w:p>
        </w:tc>
        <w:tc>
          <w:tcPr>
            <w:tcW w:w="3384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每个人展示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第2周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需求确认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完整功能清单、整体原型、验收条件、模块分工。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检查：哪些必须做，怎样证明完成？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本人模块的一条需求、原型或流程，以及验收示例。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第3周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架构与首条流程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统一账号与数据约定、模块骨架、首条真实运行流程。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检查：模块怎样连接，关键技术是否可行？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本人设计或实现，以及一个运行或试验结果。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第4周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中期检查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集成版本、各模块完成状态、缺口与补齐计划。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检查：已完成、部分完成、未完成分别是什么？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本人模块运行、关键设计决策及集成问题处理。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第5周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补齐功能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必做模块全部接入，完整流程可操作，处理试用反馈。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检查：改了什么，异常时怎样响应？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一项改进的修改前后对照及正常、异常验证。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第6周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系统验证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功能与权限测试、智能输出评价、失败与复测记录。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检查：依据什么判定通过，有哪些限制？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本人测试的输入、预期、实际结果与缺陷处理。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第7周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部署交接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部署版本、使用与安装说明、他人试用记录。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检查：离开作者电脑能否运行和使用？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本人模块配置、故障排查或交接改进证据。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第8周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实践验收</w:t>
            </w:r>
          </w:p>
        </w:tc>
        <w:tc>
          <w:tcPr>
            <w:tcW w:w="525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完整平台演示、逐项验收结论、交付资料。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检查：全部必做能力是否有证据支持？</w:t>
            </w:r>
          </w:p>
        </w:tc>
        <w:tc>
          <w:tcPr>
            <w:tcW w:w="3384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本人全程贡献、关键实现、验证及仍存在的问题。</w:t>
            </w:r>
          </w:p>
        </w:tc>
      </w:tr>
    </w:tbl>
    <w:p>
      <w:r>
        <w:t>周次指项目实践周。每周更新代码、测试和文档；分步迭代不等于缩减最终平台。调整任务顺序时说明原因，不能自行删去已确认的必做功能。</w:t>
      </w:r>
    </w:p>
    <w:p>
      <w:pPr>
        <w:pStyle w:val="3"/>
        <w:pageBreakBefore/>
      </w:pPr>
      <w:r>
        <w:t>每周30分钟怎么汇报</w:t>
      </w:r>
    </w:p>
    <w:p>
      <w:r>
        <w:drawing>
          <wp:inline distT="0" distB="0" distL="114300" distR="114300">
            <wp:extent cx="6492240" cy="301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t>汇报前只需准备四项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82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16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材料</w:t>
            </w:r>
          </w:p>
        </w:tc>
        <w:tc>
          <w:tcPr>
            <w:tcW w:w="8208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必须包含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平台完成表</w:t>
            </w:r>
          </w:p>
        </w:tc>
        <w:tc>
          <w:tcPr>
            <w:tcW w:w="8208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模块、负责人、状态、证据入口；对照上周承诺说明进展。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本周运行版本</w:t>
            </w:r>
          </w:p>
        </w:tc>
        <w:tc>
          <w:tcPr>
            <w:tcW w:w="8208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演示输入、操作、输出与保存结果；第2周可展示需求原型。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每人成果卡</w:t>
            </w:r>
          </w:p>
        </w:tc>
        <w:tc>
          <w:tcPr>
            <w:tcW w:w="8208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我的任务 → 具体改动 → 打开成果 → 验证结论 → 下一步。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下周任务表</w:t>
            </w:r>
          </w:p>
        </w:tc>
        <w:tc>
          <w:tcPr>
            <w:tcW w:w="8208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具体任务、负责人、完成时间、验收判据。</w:t>
            </w:r>
          </w:p>
        </w:tc>
      </w:tr>
    </w:tbl>
    <w:p>
      <w:r>
        <w:t>建议汇报前24小时提交周报、材料和证据链接；汇报后24小时内补齐反馈与行动。具体渠道、时间以课堂确认为准。</w:t>
      </w:r>
    </w:p>
    <w:p>
      <w:r>
        <w:t>每人必须展示，组长不能代讲。共同成果说清各自贡献；学习时长、代码行数不能单独证明成果。使用人工智能（AI）辅助开发时，简记使用内容、本人修改及验证结果。</w:t>
      </w:r>
    </w:p>
    <w:p>
      <w:pPr>
        <w:pStyle w:val="3"/>
        <w:pageBreakBefore/>
      </w:pPr>
      <w:r>
        <w:t>怎样评价 怎样改进</w:t>
      </w:r>
    </w:p>
    <w:p>
      <w:r>
        <w:t>每位成员当周得分＝小组共同分60分＋本人个人分40分。只按本周已公布目标评价；第2周不要求最终软件。此量表用于周反馈，不替代课程总评权重。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720"/>
        <w:gridCol w:w="69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92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评价项</w:t>
            </w:r>
          </w:p>
        </w:tc>
        <w:tc>
          <w:tcPr>
            <w:tcW w:w="720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满分</w:t>
            </w:r>
          </w:p>
        </w:tc>
        <w:tc>
          <w:tcPr>
            <w:tcW w:w="6912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看什么证据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小组 目标完成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计划与实际逐项对应，偏差有原因和补救责任。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小组 成果验证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当周模块及跨模块流程达到判据，有正常与相关异常证据。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小组 一致性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需求、设计、实现、测试和集成版本能够相互对应。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小组 后续计划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关键风险有分析，下周任务有负责人、期限与验收条件。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个人 实质贡献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本人任务与成果可定位，能够展示具体增量及贡献边界。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个人 验证解释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讲清关键做法，展示验证依据、结果与局限。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9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个人 协作改进</w:t>
            </w:r>
          </w:p>
        </w:tc>
        <w:tc>
          <w:tcPr>
            <w:tcW w:w="720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有协作、阻塞沟通或反馈落实记录，并形成后续行动。</w:t>
            </w:r>
          </w:p>
        </w:tc>
      </w:tr>
    </w:tbl>
    <w:p>
      <w:pPr>
        <w:pStyle w:val="4"/>
      </w:pPr>
      <w:r>
        <w:t>各项按证据选择档位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296"/>
        <w:gridCol w:w="691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16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w="1296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计分系数</w:t>
            </w:r>
          </w:p>
        </w:tc>
        <w:tc>
          <w:tcPr>
            <w:tcW w:w="6912" w:type="dxa"/>
            <w:shd w:val="clear" w:color="auto" w:fill="E8EEF5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可观察表现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L4 充分达成</w:t>
            </w:r>
          </w:p>
        </w:tc>
        <w:tc>
          <w:tcPr>
            <w:tcW w:w="129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1.0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满足本项要求，关键证据完整，可现场检查。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L3 基本达成</w:t>
            </w:r>
          </w:p>
        </w:tc>
        <w:tc>
          <w:tcPr>
            <w:tcW w:w="129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0.8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主要要求满足且有证据，仅次要细节或边界待补。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L2 部分达成</w:t>
            </w:r>
          </w:p>
        </w:tc>
        <w:tc>
          <w:tcPr>
            <w:tcW w:w="129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0.6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已有部分成果或记录，但关键内容、连接或验证有缺口。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L1 尚未体现</w:t>
            </w:r>
          </w:p>
        </w:tc>
        <w:tc>
          <w:tcPr>
            <w:tcW w:w="1296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w="6912" w:type="dxa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无可核查成果，或证据不能支持本项完成声明。</w:t>
            </w:r>
          </w:p>
        </w:tc>
      </w:tr>
    </w:tbl>
    <w:p>
      <w:r>
        <w:t>单项得分＝满分×档位系数。例如“个人实质贡献”20分，达到L3得16分。介于两档时按已满足的较低档记录；具体维度描述可查完整版量表。</w:t>
      </w:r>
    </w:p>
    <w:p>
      <w:pPr>
        <w:pStyle w:val="4"/>
      </w:pPr>
      <w:r>
        <w:t>反馈这样写</w:t>
      </w:r>
    </w:p>
    <w:p>
      <w:r>
        <w:t>维度及档位____　得分____　证据位置____</w:t>
      </w:r>
      <w:r>
        <w:br w:type="textWrapping"/>
      </w:r>
      <w:r>
        <w:t>具体缺口____　改进动作____　负责人____　完成时间____</w:t>
      </w:r>
    </w:p>
    <w:p>
      <w:r>
        <w:t>例：成果验证L2。登录后能练习，但成绩未保存；补齐成绩写入与查询，并复测“提交—保存—查看”的完整流程。下周按相同输入检查。</w:t>
      </w:r>
    </w:p>
    <w:p>
      <w:pPr>
        <w:pStyle w:val="4"/>
      </w:pPr>
      <w:r>
        <w:t>第8周交什么</w:t>
      </w:r>
    </w:p>
    <w:p>
      <w:r>
        <w:t>可运行软件与源代码；项目计划与需求；设计说明；测试与智能能力评价；安装和使用说明；周报、个人贡献及AI使用记录。资料可统一放在仓库，注明版本和入口。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Noto Serif Bengal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Noto Serif Bengali">
    <w:panose1 w:val="02020502040504020204"/>
    <w:charset w:val="00"/>
    <w:family w:val="auto"/>
    <w:pitch w:val="default"/>
    <w:sig w:usb0="00010000" w:usb1="00000000" w:usb2="00000000" w:usb3="00000000" w:csb0="00000001" w:csb1="0000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sz w:val="18"/>
      </w:rPr>
      <w:t xml:space="preserve">精炼版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BFA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172D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/>
      <w:outlineLvl w:val="0"/>
    </w:pPr>
    <w:rPr>
      <w:rFonts w:asciiTheme="majorHAnsi" w:hAnsiTheme="majorHAnsi" w:eastAsiaTheme="majorEastAsia" w:cstheme="majorBidi"/>
      <w:b/>
      <w:bCs/>
      <w:color w:val="172D45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72D4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2026-10-27T11:36:48Z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