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A股多因子量化交易系统逻辑实现策略文档 V1.0</w:t>
      </w:r>
    </w:p>
    <w:p>
      <w:r>
        <w:rPr>
          <w:sz w:val="21"/>
        </w:rPr>
        <w:t>系统定位：</w:t>
        <w:br/>
        <w:t>全 A 股、多因子、双引擎、机器学习增强、人工执行的量化交易决策系统。</w:t>
      </w:r>
    </w:p>
    <w:p>
      <w:r>
        <w:rPr>
          <w:sz w:val="21"/>
        </w:rPr>
        <w:t>核心参数：</w:t>
        <w:br/>
        <w:t>- 股票池：全A股</w:t>
        <w:br/>
        <w:t>- 持仓数量：3～5只</w:t>
        <w:br/>
        <w:t>- 持有周期：2～5交易日</w:t>
        <w:br/>
        <w:t>- 行业限制：无</w:t>
        <w:br/>
        <w:t>- 决策：模型自动生成，人工只负责执行</w:t>
      </w:r>
    </w:p>
    <w:p>
      <w:r>
        <w:rPr>
          <w:sz w:val="21"/>
        </w:rPr>
        <w:t>总体流程：</w:t>
        <w:br/>
        <w:t>行情数据</w:t>
        <w:br/>
        <w:t>→ Feature Engine</w:t>
        <w:br/>
        <w:t>→ 市场环境识别</w:t>
        <w:br/>
        <w:t>→ 突破引擎 / 反转引擎</w:t>
        <w:br/>
        <w:t>→ 机器学习预测</w:t>
        <w:br/>
        <w:t>→ 稳健期望收益</w:t>
        <w:br/>
        <w:t>→ 组合优化</w:t>
        <w:br/>
        <w:t>→ Trading Decision Engine</w:t>
        <w:br/>
        <w:t>→ BUY / SELL / HOLD / NO_ACTION</w:t>
      </w:r>
    </w:p>
    <w:p>
      <w:r>
        <w:rPr>
          <w:sz w:val="21"/>
        </w:rPr>
        <w:t>市场环境：</w:t>
        <w:br/>
        <w:t>采用市场广度模型：</w:t>
        <w:br/>
        <w:t>- EMA20站上比例</w:t>
        <w:br/>
        <w:t>- 上涨家数比例</w:t>
        <w:br/>
        <w:t>- 新高新低差</w:t>
        <w:br/>
        <w:t>- 广度变化速度</w:t>
      </w:r>
    </w:p>
    <w:p>
      <w:r>
        <w:rPr>
          <w:sz w:val="21"/>
        </w:rPr>
        <w:t>通过252交易日滚动分位和滞回状态机判断：</w:t>
        <w:br/>
        <w:t>EXTREME_STRONG、STRONG、NEUTRAL、WEAK、EXTREME_WEAK。</w:t>
      </w:r>
    </w:p>
    <w:p>
      <w:r>
        <w:rPr>
          <w:sz w:val="21"/>
        </w:rPr>
        <w:t>双引擎：</w:t>
        <w:br/>
        <w:t>1. 突破引擎：</w:t>
        <w:br/>
        <w:t>趋势质量、相对强度、突破距离、成交质量。</w:t>
      </w:r>
    </w:p>
    <w:p>
      <w:r>
        <w:rPr>
          <w:sz w:val="21"/>
        </w:rPr>
        <w:t>2. 反转引擎：</w:t>
        <w:br/>
        <w:t>ATR标准化超跌、均线偏离、下跌衰减、结构修复。</w:t>
      </w:r>
    </w:p>
    <w:p>
      <w:r>
        <w:rPr>
          <w:sz w:val="21"/>
        </w:rPr>
        <w:t>因子体系：</w:t>
        <w:br/>
        <w:t>约80个原始因子：</w:t>
        <w:br/>
        <w:t>市场环境、趋势、动量、波动、价格结构、成交、15分钟信号、风险。</w:t>
        <w:br/>
        <w:t>经过IC、ICIR、相关性和模型贡献筛选，保留30～40个有效因子。</w:t>
      </w:r>
    </w:p>
    <w:p>
      <w:r>
        <w:rPr>
          <w:sz w:val="21"/>
        </w:rPr>
        <w:t>模型：</w:t>
        <w:br/>
        <w:t>采用受控集成模型：</w:t>
        <w:br/>
        <w:t>- ElasticNet稳定基线</w:t>
        <w:br/>
        <w:t>- GBDT非线性模型</w:t>
      </w:r>
    </w:p>
    <w:p>
      <w:r>
        <w:rPr>
          <w:sz w:val="21"/>
        </w:rPr>
        <w:t>滚动训练窗口：</w:t>
        <w:br/>
        <w:t>24个月，每月重新训练。</w:t>
      </w:r>
    </w:p>
    <w:p>
      <w:r>
        <w:rPr>
          <w:sz w:val="21"/>
        </w:rPr>
        <w:t>标签：</w:t>
        <w:br/>
        <w:t>预测：</w:t>
        <w:br/>
        <w:t>- 未来净收益</w:t>
        <w:br/>
        <w:t>- 盈利概率</w:t>
        <w:br/>
        <w:t>- CVaR尾部风险</w:t>
      </w:r>
    </w:p>
    <w:p>
      <w:r>
        <w:rPr>
          <w:sz w:val="21"/>
        </w:rPr>
        <w:t>标签基于真实交易模拟：</w:t>
        <w:br/>
        <w:t>信号 → 成交 → 持仓 → 退出 → 扣除成本收益。</w:t>
      </w:r>
    </w:p>
    <w:p>
      <w:r>
        <w:rPr>
          <w:sz w:val="21"/>
        </w:rPr>
        <w:t>仓位：</w:t>
        <w:br/>
        <w:t>风险预算仓位。</w:t>
        <w:br/>
        <w:t>三级风险档位：</w:t>
        <w:br/>
        <w:t>普通、高质量、极高质量。</w:t>
        <w:br/>
        <w:t>全进全出，不加仓、不减仓、不分批止盈。</w:t>
      </w:r>
    </w:p>
    <w:p>
      <w:r>
        <w:rPr>
          <w:sz w:val="21"/>
        </w:rPr>
        <w:t>15分钟入场：</w:t>
        <w:br/>
        <w:t>突破：</w:t>
        <w:br/>
        <w:t>突破价格 + VWAP + RVOL + CLV。</w:t>
      </w:r>
    </w:p>
    <w:p>
      <w:r>
        <w:rPr>
          <w:sz w:val="21"/>
        </w:rPr>
        <w:t>反转：</w:t>
        <w:br/>
        <w:t>停止创新低 + 结构突破 + VWAP恢复 + 卖压下降。</w:t>
      </w:r>
    </w:p>
    <w:p>
      <w:r>
        <w:rPr>
          <w:sz w:val="21"/>
        </w:rPr>
        <w:t>组合：</w:t>
        <w:br/>
        <w:t>目标：</w:t>
        <w:br/>
        <w:t>最大化期望收益 - 风险 - CVaR - 成本。</w:t>
      </w:r>
    </w:p>
    <w:p>
      <w:r>
        <w:rPr>
          <w:sz w:val="21"/>
        </w:rPr>
        <w:t>约束：</w:t>
        <w:br/>
        <w:t>- 持仓3～5只</w:t>
        <w:br/>
        <w:t>- 单股最大30%</w:t>
        <w:br/>
        <w:t>- 组合风险上限1.8%</w:t>
        <w:br/>
        <w:t>- 不限制行业</w:t>
      </w:r>
    </w:p>
    <w:p>
      <w:r>
        <w:rPr>
          <w:sz w:val="21"/>
        </w:rPr>
        <w:t>Trading Decision Engine：</w:t>
        <w:br/>
        <w:t>输出：</w:t>
        <w:br/>
        <w:t>BUY / SELL / HOLD / NO_ACTION</w:t>
      </w:r>
    </w:p>
    <w:p>
      <w:r>
        <w:rPr>
          <w:sz w:val="21"/>
        </w:rPr>
        <w:t>人工角色：</w:t>
        <w:br/>
        <w:t>仅执行模型交易指令。</w:t>
      </w:r>
    </w:p>
    <w:p>
      <w:r>
        <w:rPr>
          <w:sz w:val="21"/>
        </w:rPr>
        <w:t>回测：</w:t>
        <w:br/>
        <w:t>事件驱动模拟：</w:t>
        <w:br/>
        <w:t>- T+1</w:t>
        <w:br/>
        <w:t>- 涨跌停</w:t>
        <w:br/>
        <w:t>- 滑点</w:t>
        <w:br/>
        <w:t>- 手续费</w:t>
        <w:br/>
        <w:t>- 停牌</w:t>
        <w:br/>
        <w:t>- 无法成交</w:t>
      </w:r>
    </w:p>
    <w:p>
      <w:r>
        <w:rPr>
          <w:sz w:val="21"/>
        </w:rPr>
        <w:t>验证：</w:t>
        <w:br/>
        <w:t>24个月滚动训练 + Walk Forward测试。</w:t>
      </w:r>
    </w:p>
    <w:p>
      <w:r>
        <w:rPr>
          <w:sz w:val="21"/>
        </w:rPr>
        <w:t>最终系统：</w:t>
        <w:br/>
        <w:t>数据输入</w:t>
        <w:br/>
        <w:t>→ 因子计算</w:t>
        <w:br/>
        <w:t>→ 市场状态</w:t>
        <w:br/>
        <w:t>→ 双Alpha引擎</w:t>
        <w:br/>
        <w:t>→ ML预测</w:t>
        <w:br/>
        <w:t>→ 组合优化</w:t>
        <w:br/>
        <w:t>→ 交易决策</w:t>
        <w:br/>
        <w:t>→ 人工执行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