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264DB9C9" w:rsidR="00F93E8D" w:rsidRDefault="00050F1C" w:rsidP="00187D98">
      <w:pPr>
        <w:pStyle w:val="Title"/>
      </w:pPr>
      <w:r>
        <w:t xml:space="preserve">Data Abstraction Best Practices </w:t>
      </w:r>
      <w:r w:rsidR="00813FAE">
        <w:t>White Paper</w:t>
      </w:r>
    </w:p>
    <w:p w14:paraId="703FCC2A" w14:textId="77777777" w:rsidR="00324855" w:rsidRDefault="00324855"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8319B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5E8D3759" w14:textId="77777777" w:rsidR="00796C21" w:rsidRDefault="00796C21" w:rsidP="00C45D02">
      <w:pPr>
        <w:pStyle w:val="Abstract"/>
        <w:spacing w:line="276" w:lineRule="auto"/>
        <w:rPr>
          <w:rFonts w:ascii="Helvetica" w:hAnsi="Helvetica"/>
        </w:rPr>
      </w:pPr>
    </w:p>
    <w:p w14:paraId="74EC14F0" w14:textId="4D608A1A" w:rsidR="00F80BA9" w:rsidRDefault="00F80BA9" w:rsidP="00A52492">
      <w:pPr>
        <w:pStyle w:val="Abstract"/>
        <w:spacing w:line="276" w:lineRule="auto"/>
      </w:pPr>
      <w:r w:rsidRPr="00FA4A43">
        <w:t>This document presents a</w:t>
      </w:r>
      <w:r w:rsidR="00A52492">
        <w:t xml:space="preserve"> detailed explanation of the open source Data Virtualization </w:t>
      </w:r>
      <w:r w:rsidR="008319B4">
        <w:t>Data Abstraction Best Practices</w:t>
      </w:r>
      <w:r w:rsidR="00A52492">
        <w:t xml:space="preserve"> capability.  It provides detaile</w:t>
      </w:r>
      <w:r w:rsidR="008319B4">
        <w:t>d overview of the architecture and usage</w:t>
      </w:r>
      <w:r w:rsidR="005628EC">
        <w:t>.</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050F1C" w:rsidRPr="00050F1C" w14:paraId="5A6942FC" w14:textId="77777777" w:rsidTr="00050F1C">
        <w:trPr>
          <w:trHeight w:val="368"/>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C9664D9" w14:textId="0E358831" w:rsidR="00050F1C" w:rsidRPr="00050F1C" w:rsidRDefault="00050F1C" w:rsidP="00E42930">
            <w:pPr>
              <w:pStyle w:val="Abstract"/>
              <w:spacing w:before="60" w:after="60" w:line="240" w:lineRule="auto"/>
              <w:ind w:left="0"/>
              <w:rPr>
                <w:lang w:val="en-GB"/>
              </w:rPr>
            </w:pPr>
            <w:r w:rsidRPr="00050F1C">
              <w:rPr>
                <w:lang w:val="en-GB"/>
              </w:rPr>
              <w:t>V1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0A792E7" w14:textId="36B672FA" w:rsidR="00050F1C" w:rsidRPr="00050F1C" w:rsidRDefault="00050F1C" w:rsidP="00E42930">
            <w:pPr>
              <w:pStyle w:val="Abstract"/>
              <w:spacing w:before="60" w:after="60" w:line="240" w:lineRule="auto"/>
              <w:ind w:left="0"/>
              <w:rPr>
                <w:lang w:val="en-GB"/>
              </w:rPr>
            </w:pPr>
            <w:r w:rsidRPr="00050F1C">
              <w:rPr>
                <w:lang w:val="en-GB"/>
              </w:rPr>
              <w:t>04/28/2010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7BB78FD" w14:textId="1065BCFC"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E1D7047" w14:textId="2A0FD30F" w:rsidR="00050F1C" w:rsidRPr="00050F1C" w:rsidRDefault="00050F1C" w:rsidP="00E42930">
            <w:pPr>
              <w:pStyle w:val="Abstract"/>
              <w:spacing w:before="60" w:after="60" w:line="240" w:lineRule="auto"/>
              <w:ind w:left="0"/>
              <w:rPr>
                <w:lang w:val="en-GB"/>
              </w:rPr>
            </w:pPr>
            <w:r w:rsidRPr="00050F1C">
              <w:rPr>
                <w:lang w:val="en-GB"/>
              </w:rPr>
              <w:t>Initial revision</w:t>
            </w:r>
          </w:p>
        </w:tc>
      </w:tr>
      <w:tr w:rsidR="00050F1C" w:rsidRPr="00050F1C" w14:paraId="7761763B"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ABBD789" w14:textId="7101B1D0" w:rsidR="00050F1C" w:rsidRPr="00050F1C" w:rsidRDefault="00050F1C" w:rsidP="00E42930">
            <w:pPr>
              <w:pStyle w:val="Abstract"/>
              <w:spacing w:before="60" w:after="60" w:line="240" w:lineRule="auto"/>
              <w:ind w:left="0"/>
              <w:rPr>
                <w:lang w:val="en-GB"/>
              </w:rPr>
            </w:pPr>
            <w:r w:rsidRPr="00050F1C">
              <w:rPr>
                <w:lang w:val="en-GB"/>
              </w:rPr>
              <w:t>V3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34894E3" w14:textId="690F667B" w:rsidR="00050F1C" w:rsidRPr="00050F1C" w:rsidRDefault="00050F1C" w:rsidP="00E42930">
            <w:pPr>
              <w:pStyle w:val="Abstract"/>
              <w:spacing w:before="60" w:after="60" w:line="240" w:lineRule="auto"/>
              <w:ind w:left="0"/>
              <w:rPr>
                <w:lang w:val="en-GB"/>
              </w:rPr>
            </w:pPr>
            <w:r w:rsidRPr="00050F1C">
              <w:rPr>
                <w:lang w:val="en-GB"/>
              </w:rPr>
              <w:t>08/23/2010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2849484" w14:textId="0EDB6882"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4273CF" w14:textId="12450551" w:rsidR="00050F1C" w:rsidRPr="00050F1C" w:rsidRDefault="00050F1C" w:rsidP="00E42930">
            <w:pPr>
              <w:pStyle w:val="Abstract"/>
              <w:spacing w:before="60" w:after="60" w:line="240" w:lineRule="auto"/>
              <w:ind w:left="0"/>
              <w:rPr>
                <w:lang w:val="en-GB"/>
              </w:rPr>
            </w:pPr>
            <w:r w:rsidRPr="00050F1C">
              <w:rPr>
                <w:lang w:val="en-GB"/>
              </w:rPr>
              <w:t>Added SOA Read/Write white paper</w:t>
            </w:r>
          </w:p>
        </w:tc>
      </w:tr>
      <w:tr w:rsidR="00050F1C" w:rsidRPr="00050F1C" w14:paraId="116E6B6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49D8066" w14:textId="541BE29A" w:rsidR="00050F1C" w:rsidRPr="00050F1C" w:rsidRDefault="00050F1C" w:rsidP="00E42930">
            <w:pPr>
              <w:pStyle w:val="Abstract"/>
              <w:spacing w:before="60" w:after="60" w:line="240" w:lineRule="auto"/>
              <w:ind w:left="0"/>
              <w:rPr>
                <w:lang w:val="en-GB"/>
              </w:rPr>
            </w:pPr>
            <w:r w:rsidRPr="00050F1C">
              <w:rPr>
                <w:lang w:val="en-GB"/>
              </w:rPr>
              <w:t>V5</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953BDF1" w14:textId="4CD11C04" w:rsidR="00050F1C" w:rsidRPr="00050F1C" w:rsidRDefault="00050F1C" w:rsidP="00E42930">
            <w:pPr>
              <w:pStyle w:val="Abstract"/>
              <w:spacing w:before="60" w:after="60" w:line="240" w:lineRule="auto"/>
              <w:ind w:left="0"/>
              <w:rPr>
                <w:lang w:val="en-GB"/>
              </w:rPr>
            </w:pPr>
            <w:r w:rsidRPr="00050F1C">
              <w:rPr>
                <w:lang w:val="en-GB"/>
              </w:rPr>
              <w:t>11/05/2011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AAAE2C" w14:textId="0D2C98C7"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AE8D634" w14:textId="02EDBD2C" w:rsidR="00050F1C" w:rsidRPr="00050F1C" w:rsidRDefault="00050F1C" w:rsidP="00E42930">
            <w:pPr>
              <w:pStyle w:val="Abstract"/>
              <w:spacing w:before="60" w:after="60" w:line="240" w:lineRule="auto"/>
              <w:ind w:left="0"/>
              <w:rPr>
                <w:lang w:val="en-GB"/>
              </w:rPr>
            </w:pPr>
            <w:r w:rsidRPr="00050F1C">
              <w:rPr>
                <w:lang w:val="en-GB"/>
              </w:rPr>
              <w:t>Added Business Views in Business Layer</w:t>
            </w:r>
          </w:p>
        </w:tc>
      </w:tr>
      <w:tr w:rsidR="00050F1C" w:rsidRPr="00050F1C" w14:paraId="181C01A3"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6F63591" w14:textId="057776BA" w:rsidR="00050F1C" w:rsidRPr="00050F1C" w:rsidRDefault="00050F1C" w:rsidP="00E42930">
            <w:pPr>
              <w:pStyle w:val="Abstract"/>
              <w:spacing w:before="60" w:after="60" w:line="240" w:lineRule="auto"/>
              <w:ind w:left="0"/>
              <w:rPr>
                <w:lang w:val="en-GB"/>
              </w:rPr>
            </w:pPr>
            <w:r w:rsidRPr="00050F1C">
              <w:rPr>
                <w:lang w:val="en-GB"/>
              </w:rPr>
              <w:t>V7</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E71CD7F" w14:textId="53126D00" w:rsidR="00050F1C" w:rsidRPr="00050F1C" w:rsidRDefault="00050F1C" w:rsidP="00E42930">
            <w:pPr>
              <w:pStyle w:val="Abstract"/>
              <w:spacing w:before="60" w:after="60" w:line="240" w:lineRule="auto"/>
              <w:ind w:left="0"/>
              <w:rPr>
                <w:lang w:val="en-GB"/>
              </w:rPr>
            </w:pPr>
            <w:r w:rsidRPr="00050F1C">
              <w:rPr>
                <w:lang w:val="en-GB"/>
              </w:rPr>
              <w:t>04/08/2013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EE56876" w14:textId="04EC7205"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E56337" w14:textId="7DDED532" w:rsidR="00050F1C" w:rsidRPr="00050F1C" w:rsidRDefault="00050F1C" w:rsidP="00E42930">
            <w:pPr>
              <w:pStyle w:val="Abstract"/>
              <w:spacing w:before="60" w:after="60" w:line="240" w:lineRule="auto"/>
              <w:ind w:left="0"/>
              <w:rPr>
                <w:lang w:val="en-GB"/>
              </w:rPr>
            </w:pPr>
            <w:r w:rsidRPr="00050F1C">
              <w:rPr>
                <w:lang w:val="en-GB"/>
              </w:rPr>
              <w:t>Modified major layers to 3. Enhanced technical guidance.</w:t>
            </w:r>
          </w:p>
        </w:tc>
      </w:tr>
      <w:tr w:rsidR="00050F1C" w:rsidRPr="00050F1C" w14:paraId="12669244"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EA04E05" w14:textId="0405E903" w:rsidR="00050F1C" w:rsidRPr="00050F1C" w:rsidRDefault="00050F1C" w:rsidP="00E42930">
            <w:pPr>
              <w:pStyle w:val="Abstract"/>
              <w:spacing w:before="60" w:after="60" w:line="240" w:lineRule="auto"/>
              <w:ind w:left="0"/>
              <w:rPr>
                <w:lang w:val="en-GB"/>
              </w:rPr>
            </w:pPr>
            <w:r w:rsidRPr="00050F1C">
              <w:rPr>
                <w:lang w:val="en-GB"/>
              </w:rPr>
              <w:t>V7.1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6DE1292" w14:textId="71C8D54E" w:rsidR="00050F1C" w:rsidRPr="00050F1C" w:rsidRDefault="00050F1C" w:rsidP="00E42930">
            <w:pPr>
              <w:pStyle w:val="Abstract"/>
              <w:spacing w:before="60" w:after="60" w:line="240" w:lineRule="auto"/>
              <w:ind w:left="0"/>
              <w:rPr>
                <w:lang w:val="en-GB"/>
              </w:rPr>
            </w:pPr>
            <w:r w:rsidRPr="00050F1C">
              <w:rPr>
                <w:lang w:val="en-GB"/>
              </w:rPr>
              <w:t>08/20/2013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07B5582" w14:textId="40ABFA89"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68C60B3" w14:textId="56BD87EB" w:rsidR="00050F1C" w:rsidRPr="00050F1C" w:rsidRDefault="00050F1C" w:rsidP="00E42930">
            <w:pPr>
              <w:pStyle w:val="Abstract"/>
              <w:spacing w:before="60" w:after="60" w:line="240" w:lineRule="auto"/>
              <w:ind w:left="0"/>
              <w:rPr>
                <w:lang w:val="en-GB"/>
              </w:rPr>
            </w:pPr>
            <w:r w:rsidRPr="00050F1C">
              <w:rPr>
                <w:lang w:val="en-GB"/>
              </w:rPr>
              <w:t xml:space="preserve">Updated documentation to </w:t>
            </w:r>
            <w:r w:rsidR="008B4947">
              <w:rPr>
                <w:lang w:val="en-GB"/>
              </w:rPr>
              <w:t>Tibco</w:t>
            </w:r>
            <w:r w:rsidRPr="00050F1C">
              <w:rPr>
                <w:lang w:val="en-GB"/>
              </w:rPr>
              <w:t xml:space="preserve"> format.</w:t>
            </w:r>
          </w:p>
        </w:tc>
      </w:tr>
      <w:tr w:rsidR="00050F1C" w:rsidRPr="00050F1C" w14:paraId="4538BD8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5B06F4E" w14:textId="2CCCB5E5" w:rsidR="00050F1C" w:rsidRPr="00050F1C" w:rsidRDefault="00050F1C" w:rsidP="00E42930">
            <w:pPr>
              <w:pStyle w:val="Abstract"/>
              <w:spacing w:before="60" w:after="60" w:line="240" w:lineRule="auto"/>
              <w:ind w:left="0"/>
              <w:rPr>
                <w:lang w:val="en-GB"/>
              </w:rPr>
            </w:pPr>
            <w:r w:rsidRPr="00050F1C">
              <w:rPr>
                <w:lang w:val="en-GB"/>
              </w:rPr>
              <w:t>V8.0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CAAD456" w14:textId="446AECB4" w:rsidR="00050F1C" w:rsidRPr="00050F1C" w:rsidRDefault="00050F1C" w:rsidP="00E42930">
            <w:pPr>
              <w:pStyle w:val="Abstract"/>
              <w:spacing w:before="60" w:after="60" w:line="240" w:lineRule="auto"/>
              <w:ind w:left="0"/>
              <w:rPr>
                <w:lang w:val="en-GB"/>
              </w:rPr>
            </w:pPr>
            <w:r w:rsidRPr="00050F1C">
              <w:rPr>
                <w:lang w:val="en-GB"/>
              </w:rPr>
              <w:t>11/07/2013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0A0A847" w14:textId="55079F6A"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E649F1C" w14:textId="207B802C" w:rsidR="00050F1C" w:rsidRPr="00050F1C" w:rsidRDefault="00050F1C" w:rsidP="00E42930">
            <w:pPr>
              <w:pStyle w:val="Abstract"/>
              <w:spacing w:before="60" w:after="60" w:line="240" w:lineRule="auto"/>
              <w:ind w:left="0"/>
              <w:rPr>
                <w:lang w:val="en-GB"/>
              </w:rPr>
            </w:pPr>
            <w:r w:rsidRPr="00050F1C">
              <w:rPr>
                <w:lang w:val="en-GB"/>
              </w:rPr>
              <w:t>Updated for release 8.0</w:t>
            </w:r>
          </w:p>
        </w:tc>
      </w:tr>
      <w:tr w:rsidR="00050F1C" w:rsidRPr="00050F1C" w14:paraId="2B2DDBD2"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651921D5" w14:textId="1956D119" w:rsidR="00050F1C" w:rsidRPr="00050F1C" w:rsidRDefault="00050F1C" w:rsidP="00E42930">
            <w:pPr>
              <w:pStyle w:val="Abstract"/>
              <w:spacing w:before="60" w:after="60" w:line="240" w:lineRule="auto"/>
              <w:ind w:left="0"/>
              <w:rPr>
                <w:lang w:val="en-GB"/>
              </w:rPr>
            </w:pPr>
            <w:r w:rsidRPr="00050F1C">
              <w:rPr>
                <w:lang w:val="en-GB"/>
              </w:rPr>
              <w:t>V8.1.2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033D5DA" w14:textId="32A05C56" w:rsidR="00050F1C" w:rsidRPr="00050F1C" w:rsidRDefault="00050F1C" w:rsidP="00E42930">
            <w:pPr>
              <w:pStyle w:val="Abstract"/>
              <w:spacing w:before="60" w:after="60" w:line="240" w:lineRule="auto"/>
              <w:ind w:left="0"/>
              <w:rPr>
                <w:lang w:val="en-GB"/>
              </w:rPr>
            </w:pPr>
            <w:r w:rsidRPr="00050F1C">
              <w:rPr>
                <w:lang w:val="en-GB"/>
              </w:rPr>
              <w:t>04/09/2014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9FCE22" w14:textId="4D03282E"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0B3C233" w14:textId="0D295DDB" w:rsidR="00050F1C" w:rsidRPr="00050F1C" w:rsidRDefault="00050F1C" w:rsidP="00E42930">
            <w:pPr>
              <w:pStyle w:val="Abstract"/>
              <w:spacing w:before="60" w:after="60" w:line="240" w:lineRule="auto"/>
              <w:ind w:left="0"/>
              <w:rPr>
                <w:lang w:val="en-GB"/>
              </w:rPr>
            </w:pPr>
            <w:r w:rsidRPr="00050F1C">
              <w:rPr>
                <w:lang w:val="en-GB"/>
              </w:rPr>
              <w:t>Removed version number from title page</w:t>
            </w:r>
          </w:p>
        </w:tc>
      </w:tr>
      <w:tr w:rsidR="00050F1C" w:rsidRPr="00050F1C" w14:paraId="3A570489"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11732715" w14:textId="3755C38D" w:rsidR="00050F1C" w:rsidRPr="00050F1C" w:rsidRDefault="00050F1C" w:rsidP="00E42930">
            <w:pPr>
              <w:pStyle w:val="Abstract"/>
              <w:spacing w:before="60" w:after="60" w:line="240" w:lineRule="auto"/>
              <w:ind w:left="0"/>
              <w:rPr>
                <w:lang w:val="en-GB"/>
              </w:rPr>
            </w:pPr>
            <w:r w:rsidRPr="00050F1C">
              <w:rPr>
                <w:lang w:val="en-GB"/>
              </w:rPr>
              <w:t>V8.1.6</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9AF1485" w14:textId="703BD282" w:rsidR="00050F1C" w:rsidRPr="00050F1C" w:rsidRDefault="00050F1C" w:rsidP="00E42930">
            <w:pPr>
              <w:pStyle w:val="Abstract"/>
              <w:spacing w:before="60" w:after="60" w:line="240" w:lineRule="auto"/>
              <w:ind w:left="0"/>
              <w:rPr>
                <w:lang w:val="en-GB"/>
              </w:rPr>
            </w:pPr>
            <w:r w:rsidRPr="00050F1C">
              <w:rPr>
                <w:lang w:val="en-GB"/>
              </w:rPr>
              <w:t>05/20/2015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CB2D529" w14:textId="4207C0B5"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A84B22" w14:textId="4AB2E8C8" w:rsidR="00050F1C" w:rsidRPr="00050F1C" w:rsidRDefault="00050F1C" w:rsidP="00324855">
            <w:pPr>
              <w:pStyle w:val="Abstract"/>
              <w:spacing w:before="60" w:after="60" w:line="240" w:lineRule="auto"/>
              <w:ind w:left="0"/>
              <w:rPr>
                <w:lang w:val="en-GB"/>
              </w:rPr>
            </w:pPr>
            <w:r w:rsidRPr="00050F1C">
              <w:rPr>
                <w:lang w:val="en-GB"/>
              </w:rPr>
              <w:t xml:space="preserve">Updated White papers and </w:t>
            </w:r>
            <w:proofErr w:type="spellStart"/>
            <w:r w:rsidRPr="00050F1C">
              <w:rPr>
                <w:lang w:val="en-GB"/>
              </w:rPr>
              <w:t>Powerpoints</w:t>
            </w:r>
            <w:proofErr w:type="spellEnd"/>
            <w:r w:rsidRPr="00050F1C">
              <w:rPr>
                <w:lang w:val="en-GB"/>
              </w:rPr>
              <w:t xml:space="preserve"> to </w:t>
            </w:r>
            <w:r w:rsidR="00324855">
              <w:rPr>
                <w:lang w:val="en-GB"/>
              </w:rPr>
              <w:t>Cisco</w:t>
            </w:r>
            <w:r w:rsidRPr="00050F1C">
              <w:rPr>
                <w:lang w:val="en-GB"/>
              </w:rPr>
              <w:t xml:space="preserve"> format.</w:t>
            </w:r>
          </w:p>
        </w:tc>
      </w:tr>
      <w:tr w:rsidR="00050F1C" w:rsidRPr="00050F1C" w14:paraId="6FFD10D6"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5F096641" w14:textId="1859BD3B" w:rsidR="00050F1C" w:rsidRPr="00050F1C" w:rsidRDefault="00050F1C" w:rsidP="00E42930">
            <w:pPr>
              <w:pStyle w:val="Abstract"/>
              <w:spacing w:before="60" w:after="60" w:line="240" w:lineRule="auto"/>
              <w:ind w:left="0"/>
              <w:rPr>
                <w:lang w:val="en-GB"/>
              </w:rPr>
            </w:pPr>
            <w:r w:rsidRPr="00050F1C">
              <w:rPr>
                <w:lang w:val="en-GB"/>
              </w:rPr>
              <w:t>V8.1.9</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6A4C347" w14:textId="0E1BB03D" w:rsidR="00050F1C" w:rsidRPr="00050F1C" w:rsidRDefault="00050F1C" w:rsidP="00E42930">
            <w:pPr>
              <w:pStyle w:val="Abstract"/>
              <w:spacing w:before="60" w:after="60" w:line="240" w:lineRule="auto"/>
              <w:ind w:left="0"/>
              <w:rPr>
                <w:lang w:val="en-GB"/>
              </w:rPr>
            </w:pPr>
            <w:r w:rsidRPr="00050F1C">
              <w:rPr>
                <w:lang w:val="en-GB"/>
              </w:rPr>
              <w:t>12/06/2017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9E43CCD" w14:textId="5744BC3F" w:rsidR="00050F1C" w:rsidRPr="00050F1C" w:rsidRDefault="00050F1C" w:rsidP="00E42930">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FD85A6" w14:textId="02F69D8C" w:rsidR="00050F1C" w:rsidRPr="00050F1C" w:rsidRDefault="00050F1C" w:rsidP="00E42930">
            <w:pPr>
              <w:pStyle w:val="Abstract"/>
              <w:spacing w:before="60" w:after="60" w:line="240" w:lineRule="auto"/>
              <w:ind w:left="0"/>
              <w:rPr>
                <w:lang w:val="en-GB"/>
              </w:rPr>
            </w:pPr>
            <w:r w:rsidRPr="00050F1C">
              <w:rPr>
                <w:lang w:val="en-GB"/>
              </w:rPr>
              <w:t>Transitioned to Tibco for release 8.1.9</w:t>
            </w:r>
          </w:p>
        </w:tc>
      </w:tr>
      <w:tr w:rsidR="00A447B8" w:rsidRPr="002033C8" w14:paraId="46A3B650" w14:textId="77777777" w:rsidTr="00CF6E20">
        <w:tc>
          <w:tcPr>
            <w:tcW w:w="2340" w:type="dxa"/>
            <w:shd w:val="clear" w:color="auto" w:fill="auto"/>
          </w:tcPr>
          <w:p w14:paraId="7256CBAA" w14:textId="7D9B0F92" w:rsidR="00A447B8" w:rsidRDefault="00DE316B" w:rsidP="00CF6E20">
            <w:pPr>
              <w:pStyle w:val="Abstract"/>
              <w:spacing w:before="60" w:after="60" w:line="240" w:lineRule="auto"/>
              <w:ind w:left="0"/>
              <w:rPr>
                <w:lang w:val="en-GB"/>
              </w:rPr>
            </w:pPr>
            <w:r>
              <w:rPr>
                <w:lang w:val="en-GB"/>
              </w:rPr>
              <w:t>2018Q1</w:t>
            </w:r>
          </w:p>
        </w:tc>
        <w:tc>
          <w:tcPr>
            <w:tcW w:w="1620" w:type="dxa"/>
            <w:shd w:val="clear" w:color="auto" w:fill="auto"/>
          </w:tcPr>
          <w:p w14:paraId="06D02EA0" w14:textId="77777777" w:rsidR="00A447B8" w:rsidRDefault="00A447B8" w:rsidP="00CF6E20">
            <w:pPr>
              <w:pStyle w:val="Abstract"/>
              <w:spacing w:before="60" w:after="60" w:line="240" w:lineRule="auto"/>
              <w:ind w:left="0"/>
              <w:rPr>
                <w:lang w:val="en-GB"/>
              </w:rPr>
            </w:pPr>
            <w:r>
              <w:rPr>
                <w:lang w:val="en-GB"/>
              </w:rPr>
              <w:t>03/20/2018</w:t>
            </w:r>
          </w:p>
        </w:tc>
        <w:tc>
          <w:tcPr>
            <w:tcW w:w="1800" w:type="dxa"/>
            <w:shd w:val="clear" w:color="auto" w:fill="auto"/>
          </w:tcPr>
          <w:p w14:paraId="7B9958F5" w14:textId="77777777" w:rsidR="00A447B8" w:rsidRDefault="00A447B8" w:rsidP="00CF6E20">
            <w:pPr>
              <w:pStyle w:val="Abstract"/>
              <w:spacing w:before="60" w:after="60" w:line="240" w:lineRule="auto"/>
              <w:ind w:left="0"/>
              <w:rPr>
                <w:lang w:val="en-GB"/>
              </w:rPr>
            </w:pPr>
            <w:r>
              <w:rPr>
                <w:lang w:val="en-GB"/>
              </w:rPr>
              <w:t>Mike Tinius</w:t>
            </w:r>
          </w:p>
        </w:tc>
        <w:tc>
          <w:tcPr>
            <w:tcW w:w="3888" w:type="dxa"/>
            <w:shd w:val="clear" w:color="auto" w:fill="auto"/>
          </w:tcPr>
          <w:p w14:paraId="44F6AEFB" w14:textId="2BB8B869" w:rsidR="00A447B8" w:rsidRDefault="00DE316B" w:rsidP="00CF6E20">
            <w:pPr>
              <w:pStyle w:val="Abstract"/>
              <w:spacing w:before="60" w:after="60" w:line="240" w:lineRule="auto"/>
              <w:ind w:left="0"/>
              <w:rPr>
                <w:lang w:val="en-GB"/>
              </w:rPr>
            </w:pPr>
            <w:r>
              <w:rPr>
                <w:lang w:val="en-GB"/>
              </w:rPr>
              <w:t>Release 2018Q1</w:t>
            </w:r>
            <w:r w:rsidR="00A447B8">
              <w:rPr>
                <w:lang w:val="en-GB"/>
              </w:rPr>
              <w:t xml:space="preserve"> – no changes.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7560E5" w:rsidRPr="008D0D62" w14:paraId="24AEB021" w14:textId="77777777" w:rsidTr="00E42930">
        <w:tc>
          <w:tcPr>
            <w:tcW w:w="7200" w:type="dxa"/>
            <w:shd w:val="clear" w:color="auto" w:fill="auto"/>
            <w:vAlign w:val="center"/>
          </w:tcPr>
          <w:p w14:paraId="39D1F0EE" w14:textId="641AB67A" w:rsidR="007560E5" w:rsidRDefault="007560E5" w:rsidP="00AE1397">
            <w:pPr>
              <w:pStyle w:val="Abstract"/>
              <w:spacing w:before="60" w:after="60" w:line="240" w:lineRule="auto"/>
              <w:ind w:left="0"/>
              <w:rPr>
                <w:szCs w:val="20"/>
                <w:lang w:val="en-CA" w:eastAsia="en-CA" w:bidi="he-IL"/>
              </w:rPr>
            </w:pPr>
            <w:r>
              <w:t>Tibco</w:t>
            </w:r>
            <w:r w:rsidRPr="003673B8">
              <w:t xml:space="preserve"> Data Abstraction Best Practices White Paper.pdf</w:t>
            </w:r>
          </w:p>
        </w:tc>
        <w:tc>
          <w:tcPr>
            <w:tcW w:w="2448" w:type="dxa"/>
            <w:shd w:val="clear" w:color="auto" w:fill="auto"/>
          </w:tcPr>
          <w:p w14:paraId="4614BD4B" w14:textId="4F957971" w:rsidR="007560E5" w:rsidRDefault="00DE316B" w:rsidP="00AE1397">
            <w:pPr>
              <w:pStyle w:val="Abstract"/>
              <w:spacing w:before="60" w:after="60" w:line="240" w:lineRule="auto"/>
              <w:ind w:left="0"/>
              <w:rPr>
                <w:szCs w:val="20"/>
                <w:lang w:val="en-CA" w:eastAsia="en-CA" w:bidi="he-IL"/>
              </w:rPr>
            </w:pPr>
            <w:r>
              <w:rPr>
                <w:lang w:val="en-GB"/>
              </w:rPr>
              <w:t>2018Q1</w:t>
            </w:r>
          </w:p>
        </w:tc>
      </w:tr>
      <w:tr w:rsidR="007560E5" w:rsidRPr="008D0D62" w14:paraId="5E5EAB5A" w14:textId="77777777" w:rsidTr="00E42930">
        <w:tc>
          <w:tcPr>
            <w:tcW w:w="7200" w:type="dxa"/>
            <w:shd w:val="clear" w:color="auto" w:fill="auto"/>
            <w:vAlign w:val="center"/>
          </w:tcPr>
          <w:p w14:paraId="7AA95A01" w14:textId="2FA877DC" w:rsidR="007560E5" w:rsidRPr="00F4729C" w:rsidRDefault="007560E5" w:rsidP="00C37C13">
            <w:pPr>
              <w:pStyle w:val="Abstract"/>
              <w:spacing w:before="60" w:after="60" w:line="240" w:lineRule="auto"/>
              <w:ind w:left="0"/>
              <w:rPr>
                <w:szCs w:val="20"/>
                <w:lang w:val="en-CA" w:eastAsia="en-CA" w:bidi="he-IL"/>
              </w:rPr>
            </w:pPr>
            <w:r>
              <w:rPr>
                <w:lang w:val="en-GB"/>
              </w:rPr>
              <w:t xml:space="preserve">Tibco </w:t>
            </w:r>
            <w:r w:rsidRPr="00415CF0">
              <w:rPr>
                <w:lang w:val="en-GB"/>
              </w:rPr>
              <w:t>Data Abstraction Best Practices.pptx</w:t>
            </w:r>
          </w:p>
        </w:tc>
        <w:tc>
          <w:tcPr>
            <w:tcW w:w="2448" w:type="dxa"/>
            <w:shd w:val="clear" w:color="auto" w:fill="auto"/>
          </w:tcPr>
          <w:p w14:paraId="4DEED498" w14:textId="00DFC8CB" w:rsidR="007560E5" w:rsidRDefault="00DE316B" w:rsidP="00AE1397">
            <w:pPr>
              <w:pStyle w:val="Abstract"/>
              <w:spacing w:before="60" w:after="60" w:line="240" w:lineRule="auto"/>
              <w:ind w:left="0"/>
              <w:rPr>
                <w:szCs w:val="20"/>
                <w:lang w:val="en-CA" w:eastAsia="en-CA" w:bidi="he-IL"/>
              </w:rPr>
            </w:pPr>
            <w:r>
              <w:rPr>
                <w:lang w:val="en-GB"/>
              </w:rPr>
              <w:t>2018Q1</w:t>
            </w:r>
          </w:p>
        </w:tc>
      </w:tr>
      <w:tr w:rsidR="007560E5" w:rsidRPr="008D0D62" w14:paraId="5BA08B98" w14:textId="77777777" w:rsidTr="00E42930">
        <w:tc>
          <w:tcPr>
            <w:tcW w:w="7200" w:type="dxa"/>
            <w:shd w:val="clear" w:color="auto" w:fill="auto"/>
            <w:vAlign w:val="center"/>
          </w:tcPr>
          <w:p w14:paraId="1EDD2DAF" w14:textId="15633DCA" w:rsidR="007560E5" w:rsidRPr="00F4729C" w:rsidRDefault="007560E5" w:rsidP="00524EE5">
            <w:pPr>
              <w:pStyle w:val="Abstract"/>
              <w:spacing w:before="60" w:after="60" w:line="240" w:lineRule="auto"/>
              <w:ind w:left="0"/>
              <w:rPr>
                <w:szCs w:val="20"/>
                <w:lang w:val="en-CA" w:eastAsia="en-CA" w:bidi="he-IL"/>
              </w:rPr>
            </w:pPr>
            <w:r>
              <w:rPr>
                <w:lang w:val="en-GB"/>
              </w:rPr>
              <w:t xml:space="preserve">Tibco </w:t>
            </w:r>
            <w:r w:rsidRPr="00415CF0">
              <w:rPr>
                <w:lang w:val="en-GB"/>
              </w:rPr>
              <w:t>Data Abstraction Best Practices Technical</w:t>
            </w:r>
            <w:r w:rsidR="00813FAE">
              <w:rPr>
                <w:lang w:val="en-GB"/>
              </w:rPr>
              <w:t xml:space="preserve"> Guide</w:t>
            </w:r>
            <w:r w:rsidRPr="00415CF0">
              <w:rPr>
                <w:lang w:val="en-GB"/>
              </w:rPr>
              <w:t>.ppt</w:t>
            </w:r>
          </w:p>
        </w:tc>
        <w:tc>
          <w:tcPr>
            <w:tcW w:w="2448" w:type="dxa"/>
            <w:shd w:val="clear" w:color="auto" w:fill="auto"/>
          </w:tcPr>
          <w:p w14:paraId="262E5C88" w14:textId="7F849E11" w:rsidR="007560E5" w:rsidRDefault="00DE316B" w:rsidP="00AE1397">
            <w:pPr>
              <w:pStyle w:val="Abstract"/>
              <w:spacing w:before="60" w:after="60" w:line="240" w:lineRule="auto"/>
              <w:ind w:left="0"/>
              <w:rPr>
                <w:szCs w:val="20"/>
                <w:lang w:val="en-CA" w:eastAsia="en-CA" w:bidi="he-IL"/>
              </w:rPr>
            </w:pPr>
            <w:r>
              <w:rPr>
                <w:lang w:val="en-GB"/>
              </w:rPr>
              <w:t>2018Q1</w:t>
            </w:r>
          </w:p>
        </w:tc>
      </w:tr>
      <w:tr w:rsidR="007560E5" w:rsidRPr="008D0D62" w14:paraId="3FA750AC" w14:textId="77777777" w:rsidTr="00E42930">
        <w:tc>
          <w:tcPr>
            <w:tcW w:w="7200" w:type="dxa"/>
            <w:shd w:val="clear" w:color="auto" w:fill="auto"/>
            <w:vAlign w:val="center"/>
          </w:tcPr>
          <w:p w14:paraId="23D664AD" w14:textId="2BA599A4" w:rsidR="007560E5" w:rsidRPr="00C37C13" w:rsidRDefault="007560E5" w:rsidP="00980DE6">
            <w:pPr>
              <w:pStyle w:val="Abstract"/>
              <w:spacing w:before="60" w:after="60" w:line="240" w:lineRule="auto"/>
              <w:ind w:left="0"/>
              <w:rPr>
                <w:szCs w:val="20"/>
                <w:lang w:val="en-CA" w:eastAsia="en-CA" w:bidi="he-IL"/>
              </w:rPr>
            </w:pPr>
            <w:r>
              <w:rPr>
                <w:lang w:val="en-GB"/>
              </w:rPr>
              <w:t xml:space="preserve">Tibco </w:t>
            </w:r>
            <w:r w:rsidRPr="00415CF0">
              <w:rPr>
                <w:lang w:val="en-GB"/>
              </w:rPr>
              <w:t>SOA-Centric Read</w:t>
            </w:r>
            <w:r>
              <w:rPr>
                <w:lang w:val="en-GB"/>
              </w:rPr>
              <w:t>/</w:t>
            </w:r>
            <w:r w:rsidRPr="00415CF0">
              <w:rPr>
                <w:lang w:val="en-GB"/>
              </w:rPr>
              <w:t>Write</w:t>
            </w:r>
            <w:r>
              <w:rPr>
                <w:lang w:val="en-GB"/>
              </w:rPr>
              <w:t xml:space="preserve"> Methodology Technical Note</w:t>
            </w:r>
            <w:r w:rsidRPr="00415CF0">
              <w:rPr>
                <w:lang w:val="en-GB"/>
              </w:rPr>
              <w:t>.pdf</w:t>
            </w:r>
          </w:p>
        </w:tc>
        <w:tc>
          <w:tcPr>
            <w:tcW w:w="2448" w:type="dxa"/>
            <w:shd w:val="clear" w:color="auto" w:fill="auto"/>
          </w:tcPr>
          <w:p w14:paraId="72E1131E" w14:textId="25BE7293" w:rsidR="007560E5" w:rsidRDefault="00DE316B" w:rsidP="00AE1397">
            <w:pPr>
              <w:pStyle w:val="Abstract"/>
              <w:spacing w:before="60" w:after="60" w:line="240" w:lineRule="auto"/>
              <w:ind w:left="0"/>
              <w:rPr>
                <w:szCs w:val="20"/>
                <w:lang w:val="en-CA" w:eastAsia="en-CA" w:bidi="he-IL"/>
              </w:rPr>
            </w:pPr>
            <w:r>
              <w:rPr>
                <w:lang w:val="en-GB"/>
              </w:rPr>
              <w:t>2018Q1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369C35BC" w:rsidR="00B23119" w:rsidRPr="008D0D62" w:rsidRDefault="00324855" w:rsidP="00E42930">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w:t>
            </w:r>
            <w:r>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3CC28983" w:rsidR="00B23119" w:rsidRDefault="00A447B8" w:rsidP="00E42930">
            <w:pPr>
              <w:pStyle w:val="Abstract"/>
              <w:spacing w:before="60" w:after="60" w:line="240" w:lineRule="auto"/>
              <w:ind w:left="0"/>
              <w:rPr>
                <w:szCs w:val="20"/>
                <w:lang w:val="en-CA" w:eastAsia="en-CA" w:bidi="he-IL"/>
              </w:rPr>
            </w:pPr>
            <w:r>
              <w:rPr>
                <w:szCs w:val="20"/>
                <w:lang w:val="en-CA" w:eastAsia="en-CA" w:bidi="he-IL"/>
              </w:rPr>
              <w:t>2018Q1</w:t>
            </w:r>
            <w:r w:rsidR="00B23119">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439135D9"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79A18C5E" w14:textId="31D930A9" w:rsidR="00A039B5" w:rsidRDefault="00A039B5">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8818872" w:history="1">
        <w:r w:rsidRPr="00DE44D7">
          <w:rPr>
            <w:rStyle w:val="Hyperlink"/>
          </w:rPr>
          <w:t>1</w:t>
        </w:r>
        <w:r>
          <w:rPr>
            <w:rFonts w:asciiTheme="minorHAnsi" w:eastAsiaTheme="minorEastAsia" w:hAnsiTheme="minorHAnsi" w:cstheme="minorBidi"/>
            <w:b w:val="0"/>
            <w:bCs w:val="0"/>
            <w:sz w:val="22"/>
            <w:szCs w:val="22"/>
          </w:rPr>
          <w:tab/>
        </w:r>
        <w:r w:rsidRPr="00DE44D7">
          <w:rPr>
            <w:rStyle w:val="Hyperlink"/>
          </w:rPr>
          <w:t>Complexity and Agility Require Data Abstraction</w:t>
        </w:r>
        <w:r>
          <w:rPr>
            <w:webHidden/>
          </w:rPr>
          <w:tab/>
        </w:r>
        <w:r>
          <w:rPr>
            <w:webHidden/>
          </w:rPr>
          <w:fldChar w:fldCharType="begin"/>
        </w:r>
        <w:r>
          <w:rPr>
            <w:webHidden/>
          </w:rPr>
          <w:instrText xml:space="preserve"> PAGEREF _Toc48818872 \h </w:instrText>
        </w:r>
        <w:r>
          <w:rPr>
            <w:webHidden/>
          </w:rPr>
        </w:r>
        <w:r>
          <w:rPr>
            <w:webHidden/>
          </w:rPr>
          <w:fldChar w:fldCharType="separate"/>
        </w:r>
        <w:r>
          <w:rPr>
            <w:webHidden/>
          </w:rPr>
          <w:t>4</w:t>
        </w:r>
        <w:r>
          <w:rPr>
            <w:webHidden/>
          </w:rPr>
          <w:fldChar w:fldCharType="end"/>
        </w:r>
      </w:hyperlink>
    </w:p>
    <w:p w14:paraId="4592E4CA" w14:textId="7921A34B" w:rsidR="00A039B5" w:rsidRDefault="00A039B5">
      <w:pPr>
        <w:pStyle w:val="TOC2"/>
        <w:rPr>
          <w:rFonts w:asciiTheme="minorHAnsi" w:eastAsiaTheme="minorEastAsia" w:hAnsiTheme="minorHAnsi" w:cstheme="minorBidi"/>
          <w:sz w:val="22"/>
          <w:szCs w:val="22"/>
        </w:rPr>
      </w:pPr>
      <w:hyperlink w:anchor="_Toc48818873" w:history="1">
        <w:r w:rsidRPr="00DE44D7">
          <w:rPr>
            <w:rStyle w:val="Hyperlink"/>
          </w:rPr>
          <w:t>Business and IT Challenges</w:t>
        </w:r>
        <w:r>
          <w:rPr>
            <w:webHidden/>
          </w:rPr>
          <w:tab/>
        </w:r>
        <w:r>
          <w:rPr>
            <w:webHidden/>
          </w:rPr>
          <w:fldChar w:fldCharType="begin"/>
        </w:r>
        <w:r>
          <w:rPr>
            <w:webHidden/>
          </w:rPr>
          <w:instrText xml:space="preserve"> PAGEREF _Toc48818873 \h </w:instrText>
        </w:r>
        <w:r>
          <w:rPr>
            <w:webHidden/>
          </w:rPr>
        </w:r>
        <w:r>
          <w:rPr>
            <w:webHidden/>
          </w:rPr>
          <w:fldChar w:fldCharType="separate"/>
        </w:r>
        <w:r>
          <w:rPr>
            <w:webHidden/>
          </w:rPr>
          <w:t>4</w:t>
        </w:r>
        <w:r>
          <w:rPr>
            <w:webHidden/>
          </w:rPr>
          <w:fldChar w:fldCharType="end"/>
        </w:r>
      </w:hyperlink>
    </w:p>
    <w:p w14:paraId="2F5FFE2A" w14:textId="176A0C2B" w:rsidR="00A039B5" w:rsidRDefault="00A039B5">
      <w:pPr>
        <w:pStyle w:val="TOC2"/>
        <w:rPr>
          <w:rFonts w:asciiTheme="minorHAnsi" w:eastAsiaTheme="minorEastAsia" w:hAnsiTheme="minorHAnsi" w:cstheme="minorBidi"/>
          <w:sz w:val="22"/>
          <w:szCs w:val="22"/>
        </w:rPr>
      </w:pPr>
      <w:hyperlink w:anchor="_Toc48818874" w:history="1">
        <w:r w:rsidRPr="00DE44D7">
          <w:rPr>
            <w:rStyle w:val="Hyperlink"/>
          </w:rPr>
          <w:t>Data Abstraction Overcomes These Challenges</w:t>
        </w:r>
        <w:r>
          <w:rPr>
            <w:webHidden/>
          </w:rPr>
          <w:tab/>
        </w:r>
        <w:r>
          <w:rPr>
            <w:webHidden/>
          </w:rPr>
          <w:fldChar w:fldCharType="begin"/>
        </w:r>
        <w:r>
          <w:rPr>
            <w:webHidden/>
          </w:rPr>
          <w:instrText xml:space="preserve"> PAGEREF _Toc48818874 \h </w:instrText>
        </w:r>
        <w:r>
          <w:rPr>
            <w:webHidden/>
          </w:rPr>
        </w:r>
        <w:r>
          <w:rPr>
            <w:webHidden/>
          </w:rPr>
          <w:fldChar w:fldCharType="separate"/>
        </w:r>
        <w:r>
          <w:rPr>
            <w:webHidden/>
          </w:rPr>
          <w:t>4</w:t>
        </w:r>
        <w:r>
          <w:rPr>
            <w:webHidden/>
          </w:rPr>
          <w:fldChar w:fldCharType="end"/>
        </w:r>
      </w:hyperlink>
    </w:p>
    <w:p w14:paraId="10A65080" w14:textId="6B5A39F7" w:rsidR="00A039B5" w:rsidRDefault="00A039B5">
      <w:pPr>
        <w:pStyle w:val="TOC2"/>
        <w:rPr>
          <w:rFonts w:asciiTheme="minorHAnsi" w:eastAsiaTheme="minorEastAsia" w:hAnsiTheme="minorHAnsi" w:cstheme="minorBidi"/>
          <w:sz w:val="22"/>
          <w:szCs w:val="22"/>
        </w:rPr>
      </w:pPr>
      <w:hyperlink w:anchor="_Toc48818875" w:history="1">
        <w:r w:rsidRPr="00DE44D7">
          <w:rPr>
            <w:rStyle w:val="Hyperlink"/>
          </w:rPr>
          <w:t>Data Virtualization is a Superior Solution for Data Abstraction</w:t>
        </w:r>
        <w:r>
          <w:rPr>
            <w:webHidden/>
          </w:rPr>
          <w:tab/>
        </w:r>
        <w:r>
          <w:rPr>
            <w:webHidden/>
          </w:rPr>
          <w:fldChar w:fldCharType="begin"/>
        </w:r>
        <w:r>
          <w:rPr>
            <w:webHidden/>
          </w:rPr>
          <w:instrText xml:space="preserve"> PAGEREF _Toc48818875 \h </w:instrText>
        </w:r>
        <w:r>
          <w:rPr>
            <w:webHidden/>
          </w:rPr>
        </w:r>
        <w:r>
          <w:rPr>
            <w:webHidden/>
          </w:rPr>
          <w:fldChar w:fldCharType="separate"/>
        </w:r>
        <w:r>
          <w:rPr>
            <w:webHidden/>
          </w:rPr>
          <w:t>5</w:t>
        </w:r>
        <w:r>
          <w:rPr>
            <w:webHidden/>
          </w:rPr>
          <w:fldChar w:fldCharType="end"/>
        </w:r>
      </w:hyperlink>
    </w:p>
    <w:p w14:paraId="576AFDAA" w14:textId="53273843" w:rsidR="00A039B5" w:rsidRDefault="00A039B5">
      <w:pPr>
        <w:pStyle w:val="TOC2"/>
        <w:rPr>
          <w:rFonts w:asciiTheme="minorHAnsi" w:eastAsiaTheme="minorEastAsia" w:hAnsiTheme="minorHAnsi" w:cstheme="minorBidi"/>
          <w:sz w:val="22"/>
          <w:szCs w:val="22"/>
        </w:rPr>
      </w:pPr>
      <w:hyperlink w:anchor="_Toc48818876" w:history="1">
        <w:r w:rsidRPr="00DE44D7">
          <w:rPr>
            <w:rStyle w:val="Hyperlink"/>
          </w:rPr>
          <w:t>Selected Examples</w:t>
        </w:r>
        <w:r>
          <w:rPr>
            <w:webHidden/>
          </w:rPr>
          <w:tab/>
        </w:r>
        <w:r>
          <w:rPr>
            <w:webHidden/>
          </w:rPr>
          <w:fldChar w:fldCharType="begin"/>
        </w:r>
        <w:r>
          <w:rPr>
            <w:webHidden/>
          </w:rPr>
          <w:instrText xml:space="preserve"> PAGEREF _Toc48818876 \h </w:instrText>
        </w:r>
        <w:r>
          <w:rPr>
            <w:webHidden/>
          </w:rPr>
        </w:r>
        <w:r>
          <w:rPr>
            <w:webHidden/>
          </w:rPr>
          <w:fldChar w:fldCharType="separate"/>
        </w:r>
        <w:r>
          <w:rPr>
            <w:webHidden/>
          </w:rPr>
          <w:t>6</w:t>
        </w:r>
        <w:r>
          <w:rPr>
            <w:webHidden/>
          </w:rPr>
          <w:fldChar w:fldCharType="end"/>
        </w:r>
      </w:hyperlink>
    </w:p>
    <w:p w14:paraId="3E924151" w14:textId="5E1A857C" w:rsidR="00A039B5" w:rsidRDefault="00A039B5">
      <w:pPr>
        <w:pStyle w:val="TOC1"/>
        <w:rPr>
          <w:rFonts w:asciiTheme="minorHAnsi" w:eastAsiaTheme="minorEastAsia" w:hAnsiTheme="minorHAnsi" w:cstheme="minorBidi"/>
          <w:b w:val="0"/>
          <w:bCs w:val="0"/>
          <w:sz w:val="22"/>
          <w:szCs w:val="22"/>
        </w:rPr>
      </w:pPr>
      <w:hyperlink w:anchor="_Toc48818877" w:history="1">
        <w:r w:rsidRPr="00DE44D7">
          <w:rPr>
            <w:rStyle w:val="Hyperlink"/>
          </w:rPr>
          <w:t>2</w:t>
        </w:r>
        <w:r>
          <w:rPr>
            <w:rFonts w:asciiTheme="minorHAnsi" w:eastAsiaTheme="minorEastAsia" w:hAnsiTheme="minorHAnsi" w:cstheme="minorBidi"/>
            <w:b w:val="0"/>
            <w:bCs w:val="0"/>
            <w:sz w:val="22"/>
            <w:szCs w:val="22"/>
          </w:rPr>
          <w:tab/>
        </w:r>
        <w:r w:rsidRPr="00DE44D7">
          <w:rPr>
            <w:rStyle w:val="Hyperlink"/>
          </w:rPr>
          <w:t>Tibco’s Data Abstraction Reference Architecture</w:t>
        </w:r>
        <w:r>
          <w:rPr>
            <w:webHidden/>
          </w:rPr>
          <w:tab/>
        </w:r>
        <w:r>
          <w:rPr>
            <w:webHidden/>
          </w:rPr>
          <w:fldChar w:fldCharType="begin"/>
        </w:r>
        <w:r>
          <w:rPr>
            <w:webHidden/>
          </w:rPr>
          <w:instrText xml:space="preserve"> PAGEREF _Toc48818877 \h </w:instrText>
        </w:r>
        <w:r>
          <w:rPr>
            <w:webHidden/>
          </w:rPr>
        </w:r>
        <w:r>
          <w:rPr>
            <w:webHidden/>
          </w:rPr>
          <w:fldChar w:fldCharType="separate"/>
        </w:r>
        <w:r>
          <w:rPr>
            <w:webHidden/>
          </w:rPr>
          <w:t>7</w:t>
        </w:r>
        <w:r>
          <w:rPr>
            <w:webHidden/>
          </w:rPr>
          <w:fldChar w:fldCharType="end"/>
        </w:r>
      </w:hyperlink>
    </w:p>
    <w:p w14:paraId="0BE0A31C" w14:textId="5532D3A2" w:rsidR="00A039B5" w:rsidRDefault="00A039B5">
      <w:pPr>
        <w:pStyle w:val="TOC1"/>
        <w:rPr>
          <w:rFonts w:asciiTheme="minorHAnsi" w:eastAsiaTheme="minorEastAsia" w:hAnsiTheme="minorHAnsi" w:cstheme="minorBidi"/>
          <w:b w:val="0"/>
          <w:bCs w:val="0"/>
          <w:sz w:val="22"/>
          <w:szCs w:val="22"/>
        </w:rPr>
      </w:pPr>
      <w:hyperlink w:anchor="_Toc48818878" w:history="1">
        <w:r w:rsidRPr="00DE44D7">
          <w:rPr>
            <w:rStyle w:val="Hyperlink"/>
          </w:rPr>
          <w:t>3</w:t>
        </w:r>
        <w:r>
          <w:rPr>
            <w:rFonts w:asciiTheme="minorHAnsi" w:eastAsiaTheme="minorEastAsia" w:hAnsiTheme="minorHAnsi" w:cstheme="minorBidi"/>
            <w:b w:val="0"/>
            <w:bCs w:val="0"/>
            <w:sz w:val="22"/>
            <w:szCs w:val="22"/>
          </w:rPr>
          <w:tab/>
        </w:r>
        <w:r w:rsidRPr="00DE44D7">
          <w:rPr>
            <w:rStyle w:val="Hyperlink"/>
          </w:rPr>
          <w:t>Enabling Forrester’s Data Virtualization Vision</w:t>
        </w:r>
        <w:r>
          <w:rPr>
            <w:webHidden/>
          </w:rPr>
          <w:tab/>
        </w:r>
        <w:r>
          <w:rPr>
            <w:webHidden/>
          </w:rPr>
          <w:fldChar w:fldCharType="begin"/>
        </w:r>
        <w:r>
          <w:rPr>
            <w:webHidden/>
          </w:rPr>
          <w:instrText xml:space="preserve"> PAGEREF _Toc48818878 \h </w:instrText>
        </w:r>
        <w:r>
          <w:rPr>
            <w:webHidden/>
          </w:rPr>
        </w:r>
        <w:r>
          <w:rPr>
            <w:webHidden/>
          </w:rPr>
          <w:fldChar w:fldCharType="separate"/>
        </w:r>
        <w:r>
          <w:rPr>
            <w:webHidden/>
          </w:rPr>
          <w:t>9</w:t>
        </w:r>
        <w:r>
          <w:rPr>
            <w:webHidden/>
          </w:rPr>
          <w:fldChar w:fldCharType="end"/>
        </w:r>
      </w:hyperlink>
    </w:p>
    <w:p w14:paraId="43DE251D" w14:textId="51212DD6" w:rsidR="00A039B5" w:rsidRDefault="00A039B5">
      <w:pPr>
        <w:pStyle w:val="TOC1"/>
        <w:rPr>
          <w:rFonts w:asciiTheme="minorHAnsi" w:eastAsiaTheme="minorEastAsia" w:hAnsiTheme="minorHAnsi" w:cstheme="minorBidi"/>
          <w:b w:val="0"/>
          <w:bCs w:val="0"/>
          <w:sz w:val="22"/>
          <w:szCs w:val="22"/>
        </w:rPr>
      </w:pPr>
      <w:hyperlink w:anchor="_Toc48818879" w:history="1">
        <w:r w:rsidRPr="00DE44D7">
          <w:rPr>
            <w:rStyle w:val="Hyperlink"/>
          </w:rPr>
          <w:t>4</w:t>
        </w:r>
        <w:r>
          <w:rPr>
            <w:rFonts w:asciiTheme="minorHAnsi" w:eastAsiaTheme="minorEastAsia" w:hAnsiTheme="minorHAnsi" w:cstheme="minorBidi"/>
            <w:b w:val="0"/>
            <w:bCs w:val="0"/>
            <w:sz w:val="22"/>
            <w:szCs w:val="22"/>
          </w:rPr>
          <w:tab/>
        </w:r>
        <w:r w:rsidRPr="00DE44D7">
          <w:rPr>
            <w:rStyle w:val="Hyperlink"/>
          </w:rPr>
          <w:t>Enabling Gartner’s Discipline of Data Integration</w:t>
        </w:r>
        <w:r>
          <w:rPr>
            <w:webHidden/>
          </w:rPr>
          <w:tab/>
        </w:r>
        <w:r>
          <w:rPr>
            <w:webHidden/>
          </w:rPr>
          <w:fldChar w:fldCharType="begin"/>
        </w:r>
        <w:r>
          <w:rPr>
            <w:webHidden/>
          </w:rPr>
          <w:instrText xml:space="preserve"> PAGEREF _Toc48818879 \h </w:instrText>
        </w:r>
        <w:r>
          <w:rPr>
            <w:webHidden/>
          </w:rPr>
        </w:r>
        <w:r>
          <w:rPr>
            <w:webHidden/>
          </w:rPr>
          <w:fldChar w:fldCharType="separate"/>
        </w:r>
        <w:r>
          <w:rPr>
            <w:webHidden/>
          </w:rPr>
          <w:t>10</w:t>
        </w:r>
        <w:r>
          <w:rPr>
            <w:webHidden/>
          </w:rPr>
          <w:fldChar w:fldCharType="end"/>
        </w:r>
      </w:hyperlink>
    </w:p>
    <w:p w14:paraId="3C42AF5D" w14:textId="69AD1906" w:rsidR="00A039B5" w:rsidRDefault="00A039B5">
      <w:pPr>
        <w:pStyle w:val="TOC1"/>
        <w:rPr>
          <w:rFonts w:asciiTheme="minorHAnsi" w:eastAsiaTheme="minorEastAsia" w:hAnsiTheme="minorHAnsi" w:cstheme="minorBidi"/>
          <w:b w:val="0"/>
          <w:bCs w:val="0"/>
          <w:sz w:val="22"/>
          <w:szCs w:val="22"/>
        </w:rPr>
      </w:pPr>
      <w:hyperlink w:anchor="_Toc48818880" w:history="1">
        <w:r w:rsidRPr="00DE44D7">
          <w:rPr>
            <w:rStyle w:val="Hyperlink"/>
          </w:rPr>
          <w:t>5</w:t>
        </w:r>
        <w:r>
          <w:rPr>
            <w:rFonts w:asciiTheme="minorHAnsi" w:eastAsiaTheme="minorEastAsia" w:hAnsiTheme="minorHAnsi" w:cstheme="minorBidi"/>
            <w:b w:val="0"/>
            <w:bCs w:val="0"/>
            <w:sz w:val="22"/>
            <w:szCs w:val="22"/>
          </w:rPr>
          <w:tab/>
        </w:r>
        <w:r w:rsidRPr="00DE44D7">
          <w:rPr>
            <w:rStyle w:val="Hyperlink"/>
          </w:rPr>
          <w:t>User Roles and Responsibilities</w:t>
        </w:r>
        <w:r>
          <w:rPr>
            <w:webHidden/>
          </w:rPr>
          <w:tab/>
        </w:r>
        <w:r>
          <w:rPr>
            <w:webHidden/>
          </w:rPr>
          <w:fldChar w:fldCharType="begin"/>
        </w:r>
        <w:r>
          <w:rPr>
            <w:webHidden/>
          </w:rPr>
          <w:instrText xml:space="preserve"> PAGEREF _Toc48818880 \h </w:instrText>
        </w:r>
        <w:r>
          <w:rPr>
            <w:webHidden/>
          </w:rPr>
        </w:r>
        <w:r>
          <w:rPr>
            <w:webHidden/>
          </w:rPr>
          <w:fldChar w:fldCharType="separate"/>
        </w:r>
        <w:r>
          <w:rPr>
            <w:webHidden/>
          </w:rPr>
          <w:t>12</w:t>
        </w:r>
        <w:r>
          <w:rPr>
            <w:webHidden/>
          </w:rPr>
          <w:fldChar w:fldCharType="end"/>
        </w:r>
      </w:hyperlink>
    </w:p>
    <w:p w14:paraId="654E56DA" w14:textId="66E3E730" w:rsidR="00A039B5" w:rsidRDefault="00A039B5">
      <w:pPr>
        <w:pStyle w:val="TOC1"/>
        <w:rPr>
          <w:rFonts w:asciiTheme="minorHAnsi" w:eastAsiaTheme="minorEastAsia" w:hAnsiTheme="minorHAnsi" w:cstheme="minorBidi"/>
          <w:b w:val="0"/>
          <w:bCs w:val="0"/>
          <w:sz w:val="22"/>
          <w:szCs w:val="22"/>
        </w:rPr>
      </w:pPr>
      <w:hyperlink w:anchor="_Toc48818881" w:history="1">
        <w:r w:rsidRPr="00DE44D7">
          <w:rPr>
            <w:rStyle w:val="Hyperlink"/>
          </w:rPr>
          <w:t>6</w:t>
        </w:r>
        <w:r>
          <w:rPr>
            <w:rFonts w:asciiTheme="minorHAnsi" w:eastAsiaTheme="minorEastAsia" w:hAnsiTheme="minorHAnsi" w:cstheme="minorBidi"/>
            <w:b w:val="0"/>
            <w:bCs w:val="0"/>
            <w:sz w:val="22"/>
            <w:szCs w:val="22"/>
          </w:rPr>
          <w:tab/>
        </w:r>
        <w:r w:rsidRPr="00DE44D7">
          <w:rPr>
            <w:rStyle w:val="Hyperlink"/>
          </w:rPr>
          <w:t>Data Service Design Guidance</w:t>
        </w:r>
        <w:r>
          <w:rPr>
            <w:webHidden/>
          </w:rPr>
          <w:tab/>
        </w:r>
        <w:r>
          <w:rPr>
            <w:webHidden/>
          </w:rPr>
          <w:fldChar w:fldCharType="begin"/>
        </w:r>
        <w:r>
          <w:rPr>
            <w:webHidden/>
          </w:rPr>
          <w:instrText xml:space="preserve"> PAGEREF _Toc48818881 \h </w:instrText>
        </w:r>
        <w:r>
          <w:rPr>
            <w:webHidden/>
          </w:rPr>
        </w:r>
        <w:r>
          <w:rPr>
            <w:webHidden/>
          </w:rPr>
          <w:fldChar w:fldCharType="separate"/>
        </w:r>
        <w:r>
          <w:rPr>
            <w:webHidden/>
          </w:rPr>
          <w:t>14</w:t>
        </w:r>
        <w:r>
          <w:rPr>
            <w:webHidden/>
          </w:rPr>
          <w:fldChar w:fldCharType="end"/>
        </w:r>
      </w:hyperlink>
    </w:p>
    <w:p w14:paraId="0966E1C2" w14:textId="5381B9A8" w:rsidR="00A039B5" w:rsidRDefault="00A039B5">
      <w:pPr>
        <w:pStyle w:val="TOC2"/>
        <w:rPr>
          <w:rFonts w:asciiTheme="minorHAnsi" w:eastAsiaTheme="minorEastAsia" w:hAnsiTheme="minorHAnsi" w:cstheme="minorBidi"/>
          <w:sz w:val="22"/>
          <w:szCs w:val="22"/>
        </w:rPr>
      </w:pPr>
      <w:hyperlink w:anchor="_Toc48818882" w:history="1">
        <w:r w:rsidRPr="00DE44D7">
          <w:rPr>
            <w:rStyle w:val="Hyperlink"/>
            <w:i/>
          </w:rPr>
          <w:t>Physical Layer</w:t>
        </w:r>
        <w:r>
          <w:rPr>
            <w:webHidden/>
          </w:rPr>
          <w:tab/>
        </w:r>
        <w:r>
          <w:rPr>
            <w:webHidden/>
          </w:rPr>
          <w:fldChar w:fldCharType="begin"/>
        </w:r>
        <w:r>
          <w:rPr>
            <w:webHidden/>
          </w:rPr>
          <w:instrText xml:space="preserve"> PAGEREF _Toc48818882 \h </w:instrText>
        </w:r>
        <w:r>
          <w:rPr>
            <w:webHidden/>
          </w:rPr>
        </w:r>
        <w:r>
          <w:rPr>
            <w:webHidden/>
          </w:rPr>
          <w:fldChar w:fldCharType="separate"/>
        </w:r>
        <w:r>
          <w:rPr>
            <w:webHidden/>
          </w:rPr>
          <w:t>14</w:t>
        </w:r>
        <w:r>
          <w:rPr>
            <w:webHidden/>
          </w:rPr>
          <w:fldChar w:fldCharType="end"/>
        </w:r>
      </w:hyperlink>
    </w:p>
    <w:p w14:paraId="4AEF8CEB" w14:textId="7A268D9F" w:rsidR="00A039B5" w:rsidRDefault="00A039B5">
      <w:pPr>
        <w:pStyle w:val="TOC2"/>
        <w:rPr>
          <w:rFonts w:asciiTheme="minorHAnsi" w:eastAsiaTheme="minorEastAsia" w:hAnsiTheme="minorHAnsi" w:cstheme="minorBidi"/>
          <w:sz w:val="22"/>
          <w:szCs w:val="22"/>
        </w:rPr>
      </w:pPr>
      <w:hyperlink w:anchor="_Toc48818883" w:history="1">
        <w:r w:rsidRPr="00DE44D7">
          <w:rPr>
            <w:rStyle w:val="Hyperlink"/>
            <w:i/>
          </w:rPr>
          <w:t>Business Layer</w:t>
        </w:r>
        <w:r>
          <w:rPr>
            <w:webHidden/>
          </w:rPr>
          <w:tab/>
        </w:r>
        <w:r>
          <w:rPr>
            <w:webHidden/>
          </w:rPr>
          <w:fldChar w:fldCharType="begin"/>
        </w:r>
        <w:r>
          <w:rPr>
            <w:webHidden/>
          </w:rPr>
          <w:instrText xml:space="preserve"> PAGEREF _Toc48818883 \h </w:instrText>
        </w:r>
        <w:r>
          <w:rPr>
            <w:webHidden/>
          </w:rPr>
        </w:r>
        <w:r>
          <w:rPr>
            <w:webHidden/>
          </w:rPr>
          <w:fldChar w:fldCharType="separate"/>
        </w:r>
        <w:r>
          <w:rPr>
            <w:webHidden/>
          </w:rPr>
          <w:t>17</w:t>
        </w:r>
        <w:r>
          <w:rPr>
            <w:webHidden/>
          </w:rPr>
          <w:fldChar w:fldCharType="end"/>
        </w:r>
      </w:hyperlink>
    </w:p>
    <w:p w14:paraId="62FDEB1C" w14:textId="7DF4EC0F" w:rsidR="00A039B5" w:rsidRDefault="00A039B5">
      <w:pPr>
        <w:pStyle w:val="TOC2"/>
        <w:rPr>
          <w:rFonts w:asciiTheme="minorHAnsi" w:eastAsiaTheme="minorEastAsia" w:hAnsiTheme="minorHAnsi" w:cstheme="minorBidi"/>
          <w:sz w:val="22"/>
          <w:szCs w:val="22"/>
        </w:rPr>
      </w:pPr>
      <w:hyperlink w:anchor="_Toc48818884" w:history="1">
        <w:r w:rsidRPr="00DE44D7">
          <w:rPr>
            <w:rStyle w:val="Hyperlink"/>
            <w:i/>
          </w:rPr>
          <w:t>Application Layer</w:t>
        </w:r>
        <w:r>
          <w:rPr>
            <w:webHidden/>
          </w:rPr>
          <w:tab/>
        </w:r>
        <w:r>
          <w:rPr>
            <w:webHidden/>
          </w:rPr>
          <w:fldChar w:fldCharType="begin"/>
        </w:r>
        <w:r>
          <w:rPr>
            <w:webHidden/>
          </w:rPr>
          <w:instrText xml:space="preserve"> PAGEREF _Toc48818884 \h </w:instrText>
        </w:r>
        <w:r>
          <w:rPr>
            <w:webHidden/>
          </w:rPr>
        </w:r>
        <w:r>
          <w:rPr>
            <w:webHidden/>
          </w:rPr>
          <w:fldChar w:fldCharType="separate"/>
        </w:r>
        <w:r>
          <w:rPr>
            <w:webHidden/>
          </w:rPr>
          <w:t>18</w:t>
        </w:r>
        <w:r>
          <w:rPr>
            <w:webHidden/>
          </w:rPr>
          <w:fldChar w:fldCharType="end"/>
        </w:r>
      </w:hyperlink>
    </w:p>
    <w:p w14:paraId="423185E9" w14:textId="00B80ECB" w:rsidR="00A039B5" w:rsidRDefault="00A039B5">
      <w:pPr>
        <w:pStyle w:val="TOC1"/>
        <w:rPr>
          <w:rFonts w:asciiTheme="minorHAnsi" w:eastAsiaTheme="minorEastAsia" w:hAnsiTheme="minorHAnsi" w:cstheme="minorBidi"/>
          <w:b w:val="0"/>
          <w:bCs w:val="0"/>
          <w:sz w:val="22"/>
          <w:szCs w:val="22"/>
        </w:rPr>
      </w:pPr>
      <w:hyperlink w:anchor="_Toc48818885" w:history="1">
        <w:r w:rsidRPr="00DE44D7">
          <w:rPr>
            <w:rStyle w:val="Hyperlink"/>
          </w:rPr>
          <w:t>7</w:t>
        </w:r>
        <w:r>
          <w:rPr>
            <w:rFonts w:asciiTheme="minorHAnsi" w:eastAsiaTheme="minorEastAsia" w:hAnsiTheme="minorHAnsi" w:cstheme="minorBidi"/>
            <w:b w:val="0"/>
            <w:bCs w:val="0"/>
            <w:sz w:val="22"/>
            <w:szCs w:val="22"/>
          </w:rPr>
          <w:tab/>
        </w:r>
        <w:r w:rsidRPr="00DE44D7">
          <w:rPr>
            <w:rStyle w:val="Hyperlink"/>
          </w:rPr>
          <w:t>Summary of Key Benefits</w:t>
        </w:r>
        <w:r>
          <w:rPr>
            <w:webHidden/>
          </w:rPr>
          <w:tab/>
        </w:r>
        <w:r>
          <w:rPr>
            <w:webHidden/>
          </w:rPr>
          <w:fldChar w:fldCharType="begin"/>
        </w:r>
        <w:r>
          <w:rPr>
            <w:webHidden/>
          </w:rPr>
          <w:instrText xml:space="preserve"> PAGEREF _Toc48818885 \h </w:instrText>
        </w:r>
        <w:r>
          <w:rPr>
            <w:webHidden/>
          </w:rPr>
        </w:r>
        <w:r>
          <w:rPr>
            <w:webHidden/>
          </w:rPr>
          <w:fldChar w:fldCharType="separate"/>
        </w:r>
        <w:r>
          <w:rPr>
            <w:webHidden/>
          </w:rPr>
          <w:t>20</w:t>
        </w:r>
        <w:r>
          <w:rPr>
            <w:webHidden/>
          </w:rPr>
          <w:fldChar w:fldCharType="end"/>
        </w:r>
      </w:hyperlink>
    </w:p>
    <w:p w14:paraId="00EB1556" w14:textId="443E485F" w:rsidR="00A039B5" w:rsidRDefault="00A039B5">
      <w:pPr>
        <w:pStyle w:val="TOC1"/>
        <w:rPr>
          <w:rFonts w:asciiTheme="minorHAnsi" w:eastAsiaTheme="minorEastAsia" w:hAnsiTheme="minorHAnsi" w:cstheme="minorBidi"/>
          <w:b w:val="0"/>
          <w:bCs w:val="0"/>
          <w:sz w:val="22"/>
          <w:szCs w:val="22"/>
        </w:rPr>
      </w:pPr>
      <w:hyperlink w:anchor="_Toc48818886" w:history="1">
        <w:r w:rsidRPr="00DE44D7">
          <w:rPr>
            <w:rStyle w:val="Hyperlink"/>
          </w:rPr>
          <w:t>8</w:t>
        </w:r>
        <w:r>
          <w:rPr>
            <w:rFonts w:asciiTheme="minorHAnsi" w:eastAsiaTheme="minorEastAsia" w:hAnsiTheme="minorHAnsi" w:cstheme="minorBidi"/>
            <w:b w:val="0"/>
            <w:bCs w:val="0"/>
            <w:sz w:val="22"/>
            <w:szCs w:val="22"/>
          </w:rPr>
          <w:tab/>
        </w:r>
        <w:r w:rsidRPr="00DE44D7">
          <w:rPr>
            <w:rStyle w:val="Hyperlink"/>
          </w:rPr>
          <w:t>Practical Next Steps</w:t>
        </w:r>
        <w:r>
          <w:rPr>
            <w:webHidden/>
          </w:rPr>
          <w:tab/>
        </w:r>
        <w:r>
          <w:rPr>
            <w:webHidden/>
          </w:rPr>
          <w:fldChar w:fldCharType="begin"/>
        </w:r>
        <w:r>
          <w:rPr>
            <w:webHidden/>
          </w:rPr>
          <w:instrText xml:space="preserve"> PAGEREF _Toc48818886 \h </w:instrText>
        </w:r>
        <w:r>
          <w:rPr>
            <w:webHidden/>
          </w:rPr>
        </w:r>
        <w:r>
          <w:rPr>
            <w:webHidden/>
          </w:rPr>
          <w:fldChar w:fldCharType="separate"/>
        </w:r>
        <w:r>
          <w:rPr>
            <w:webHidden/>
          </w:rPr>
          <w:t>21</w:t>
        </w:r>
        <w:r>
          <w:rPr>
            <w:webHidden/>
          </w:rPr>
          <w:fldChar w:fldCharType="end"/>
        </w:r>
      </w:hyperlink>
    </w:p>
    <w:p w14:paraId="6FC3BFD6" w14:textId="42CD877F" w:rsidR="00F93E8D" w:rsidRPr="002033C8" w:rsidRDefault="00A039B5" w:rsidP="002033C8">
      <w:pPr>
        <w:pStyle w:val="TOC1"/>
        <w:rPr>
          <w:rFonts w:ascii="Helvetica" w:hAnsi="Helvetica"/>
        </w:rPr>
      </w:pPr>
      <w:r>
        <w:rPr>
          <w:rFonts w:ascii="Helvetica" w:hAnsi="Helvetica"/>
        </w:rPr>
        <w:fldChar w:fldCharType="end"/>
      </w:r>
      <w:bookmarkStart w:id="1" w:name="_GoBack"/>
      <w:bookmarkEnd w:id="1"/>
    </w:p>
    <w:p w14:paraId="7B7BC6CA" w14:textId="4549B28E" w:rsidR="00AE1397" w:rsidRDefault="00AE1397" w:rsidP="00AE1397">
      <w:pPr>
        <w:pStyle w:val="CS-Bodytext"/>
      </w:pPr>
    </w:p>
    <w:p w14:paraId="7A57D963" w14:textId="75802165" w:rsidR="00F80BA9" w:rsidRDefault="00050F1C" w:rsidP="00F80BA9">
      <w:pPr>
        <w:pStyle w:val="Heading1Numbered"/>
      </w:pPr>
      <w:bookmarkStart w:id="2" w:name="_Toc48818872"/>
      <w:r>
        <w:lastRenderedPageBreak/>
        <w:t>Complexity and Agility Require Data Abstraction</w:t>
      </w:r>
      <w:bookmarkEnd w:id="2"/>
    </w:p>
    <w:p w14:paraId="5FC7DB31" w14:textId="77777777" w:rsidR="00E42930" w:rsidRPr="009A45E7" w:rsidRDefault="00E42930" w:rsidP="00E42930">
      <w:pPr>
        <w:pStyle w:val="Heading2"/>
        <w:rPr>
          <w:color w:val="1F497D"/>
          <w:sz w:val="23"/>
          <w:szCs w:val="23"/>
        </w:rPr>
      </w:pPr>
      <w:bookmarkStart w:id="3" w:name="_Toc353190100"/>
      <w:bookmarkStart w:id="4" w:name="_Toc365184158"/>
      <w:bookmarkStart w:id="5" w:name="_Toc419896930"/>
      <w:bookmarkStart w:id="6" w:name="_Toc48818873"/>
      <w:r w:rsidRPr="009A45E7">
        <w:rPr>
          <w:color w:val="1F497D"/>
          <w:sz w:val="23"/>
          <w:szCs w:val="23"/>
        </w:rPr>
        <w:t>Business and IT Challenges</w:t>
      </w:r>
      <w:bookmarkEnd w:id="3"/>
      <w:bookmarkEnd w:id="4"/>
      <w:bookmarkEnd w:id="5"/>
      <w:bookmarkEnd w:id="6"/>
    </w:p>
    <w:p w14:paraId="1130D001" w14:textId="77777777" w:rsidR="00E42930" w:rsidRPr="007B0D0A" w:rsidRDefault="00E42930" w:rsidP="00E42930">
      <w:pPr>
        <w:pStyle w:val="CS-Bodytext"/>
        <w:rPr>
          <w:rFonts w:cs="Arial"/>
          <w:sz w:val="20"/>
          <w:szCs w:val="20"/>
        </w:rPr>
      </w:pPr>
      <w:r w:rsidRPr="007B0D0A">
        <w:rPr>
          <w:rFonts w:cs="Arial"/>
          <w:sz w:val="20"/>
          <w:szCs w:val="20"/>
        </w:rPr>
        <w:t xml:space="preserve">All large enterprises and government agencies today are looking to improve on their bottom-line, cut costs or reduce their risk by providing better access to information assets.  </w:t>
      </w:r>
    </w:p>
    <w:p w14:paraId="18A86ABE" w14:textId="77777777" w:rsidR="00E42930" w:rsidRPr="007B0D0A" w:rsidRDefault="00E42930" w:rsidP="00E42930">
      <w:pPr>
        <w:pStyle w:val="CS-Bodytext"/>
        <w:rPr>
          <w:rFonts w:cs="Arial"/>
          <w:sz w:val="20"/>
          <w:szCs w:val="20"/>
        </w:rPr>
      </w:pPr>
      <w:r w:rsidRPr="007B0D0A">
        <w:rPr>
          <w:rFonts w:cs="Arial"/>
          <w:sz w:val="20"/>
          <w:szCs w:val="20"/>
        </w:rPr>
        <w:t>Towards these objectives, every organization struggles with the challenges presented by significant volumes of complex, diverse data spread across various technology and application silos.  Further complicating matters are a range of problems such as each source having its own access mechanism, syntax, security, etc., few structured properly for business user or application consumption, let alone reuse, incomplete data or duplicate data, as well as a mix of latency issues.</w:t>
      </w:r>
    </w:p>
    <w:p w14:paraId="1013AD3B" w14:textId="61B6FABE" w:rsidR="00E42930" w:rsidRPr="0085138C" w:rsidRDefault="00E42930" w:rsidP="00E42930">
      <w:pPr>
        <w:pStyle w:val="CS-Bodytext"/>
        <w:ind w:left="1440"/>
        <w:rPr>
          <w:rFonts w:cs="Arial"/>
        </w:rPr>
      </w:pPr>
      <w:r w:rsidRPr="0085138C">
        <w:rPr>
          <w:rFonts w:cs="Arial"/>
          <w:noProof/>
        </w:rPr>
        <w:drawing>
          <wp:inline distT="0" distB="0" distL="0" distR="0" wp14:anchorId="09AA4323" wp14:editId="51C73131">
            <wp:extent cx="3903345" cy="3446145"/>
            <wp:effectExtent l="0" t="0" r="8255" b="8255"/>
            <wp:docPr id="9" name="Picture 9" descr="Data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Challe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3345" cy="3446145"/>
                    </a:xfrm>
                    <a:prstGeom prst="rect">
                      <a:avLst/>
                    </a:prstGeom>
                    <a:noFill/>
                    <a:ln>
                      <a:noFill/>
                    </a:ln>
                  </pic:spPr>
                </pic:pic>
              </a:graphicData>
            </a:graphic>
          </wp:inline>
        </w:drawing>
      </w:r>
    </w:p>
    <w:p w14:paraId="5DE9585E" w14:textId="77777777" w:rsidR="00E42930" w:rsidRPr="0085138C" w:rsidRDefault="00E42930" w:rsidP="00E42930">
      <w:pPr>
        <w:pStyle w:val="CS-Bodytext"/>
        <w:ind w:left="2880"/>
        <w:rPr>
          <w:rFonts w:cs="Arial"/>
          <w:i/>
          <w:iCs/>
          <w:sz w:val="18"/>
          <w:szCs w:val="18"/>
        </w:rPr>
      </w:pPr>
      <w:r w:rsidRPr="0085138C">
        <w:rPr>
          <w:rFonts w:cs="Arial"/>
          <w:i/>
          <w:iCs/>
          <w:sz w:val="18"/>
          <w:szCs w:val="18"/>
        </w:rPr>
        <w:t>Figure One:  Data Abstraction Challenges</w:t>
      </w:r>
    </w:p>
    <w:p w14:paraId="5BF0073B" w14:textId="77777777" w:rsidR="00E42930" w:rsidRPr="009A45E7" w:rsidRDefault="00E42930" w:rsidP="00E42930">
      <w:pPr>
        <w:pStyle w:val="Heading2"/>
        <w:rPr>
          <w:color w:val="1F497D"/>
          <w:sz w:val="23"/>
          <w:szCs w:val="23"/>
        </w:rPr>
      </w:pPr>
      <w:bookmarkStart w:id="7" w:name="_Toc353190101"/>
      <w:bookmarkStart w:id="8" w:name="_Toc365184159"/>
      <w:bookmarkStart w:id="9" w:name="_Toc419896931"/>
      <w:bookmarkStart w:id="10" w:name="_Toc48818874"/>
      <w:r w:rsidRPr="009A45E7">
        <w:rPr>
          <w:color w:val="1F497D"/>
          <w:sz w:val="23"/>
          <w:szCs w:val="23"/>
        </w:rPr>
        <w:t>Data Abstraction Overcomes These Challenges</w:t>
      </w:r>
      <w:bookmarkEnd w:id="7"/>
      <w:bookmarkEnd w:id="8"/>
      <w:bookmarkEnd w:id="9"/>
      <w:bookmarkEnd w:id="10"/>
      <w:r w:rsidRPr="009A45E7">
        <w:rPr>
          <w:color w:val="1F497D"/>
          <w:sz w:val="23"/>
          <w:szCs w:val="23"/>
        </w:rPr>
        <w:t xml:space="preserve"> </w:t>
      </w:r>
    </w:p>
    <w:p w14:paraId="225250A8" w14:textId="77777777" w:rsidR="00E42930" w:rsidRPr="007B0D0A" w:rsidRDefault="00E42930" w:rsidP="00E42930">
      <w:pPr>
        <w:pStyle w:val="CS-Bodytext"/>
        <w:rPr>
          <w:rFonts w:cs="Arial"/>
          <w:sz w:val="20"/>
        </w:rPr>
      </w:pPr>
      <w:r w:rsidRPr="007B0D0A">
        <w:rPr>
          <w:rFonts w:cs="Arial"/>
          <w:sz w:val="20"/>
        </w:rPr>
        <w:t xml:space="preserve">Data abstraction overcomes source to consumer incompatibility by transforming data from its native structure and syntax into reusable views and data services that are easy for application developers to understand and solutions to consume.   </w:t>
      </w:r>
    </w:p>
    <w:p w14:paraId="4AECF7ED" w14:textId="77777777" w:rsidR="00E42930" w:rsidRPr="007B0D0A" w:rsidRDefault="00E42930" w:rsidP="00E42930">
      <w:pPr>
        <w:pStyle w:val="CS-Bodytext"/>
        <w:rPr>
          <w:rFonts w:cs="Arial"/>
          <w:sz w:val="20"/>
        </w:rPr>
      </w:pPr>
      <w:r w:rsidRPr="007B0D0A">
        <w:rPr>
          <w:rFonts w:cs="Arial"/>
          <w:sz w:val="20"/>
        </w:rPr>
        <w:t xml:space="preserve">Some data abstraction approaches enterprises use today work better than others.  </w:t>
      </w:r>
    </w:p>
    <w:p w14:paraId="7FF01017" w14:textId="77777777" w:rsidR="00E42930" w:rsidRPr="007B0D0A" w:rsidRDefault="00E42930" w:rsidP="00E42930">
      <w:pPr>
        <w:pStyle w:val="CS-Bodytext"/>
        <w:rPr>
          <w:rFonts w:cs="Arial"/>
          <w:sz w:val="20"/>
        </w:rPr>
      </w:pPr>
      <w:r w:rsidRPr="007B0D0A">
        <w:rPr>
          <w:rFonts w:cs="Arial"/>
          <w:sz w:val="20"/>
        </w:rPr>
        <w:t xml:space="preserve">For example, some organizations build data abstraction by hand in Java or use business process management (BPM) tools.  Unfortunately, these are often constrained by brittleness and inefficiencies.  </w:t>
      </w:r>
      <w:r w:rsidRPr="007B0D0A">
        <w:rPr>
          <w:rFonts w:cs="Arial"/>
          <w:sz w:val="20"/>
        </w:rPr>
        <w:lastRenderedPageBreak/>
        <w:t xml:space="preserve">Further, such approaches are not effective for large data sets since they lack the robust federation and query optimization functions required to meet data consumers’ rigorous performance demands.  </w:t>
      </w:r>
    </w:p>
    <w:p w14:paraId="37A6501F" w14:textId="77777777" w:rsidR="00E42930" w:rsidRPr="007B0D0A" w:rsidRDefault="00E42930" w:rsidP="00E42930">
      <w:pPr>
        <w:pStyle w:val="CS-Bodytext"/>
        <w:rPr>
          <w:rFonts w:cs="Arial"/>
          <w:sz w:val="20"/>
        </w:rPr>
      </w:pPr>
      <w:r w:rsidRPr="007B0D0A">
        <w:rPr>
          <w:rFonts w:cs="Arial"/>
          <w:sz w:val="20"/>
        </w:rPr>
        <w:t xml:space="preserve">Data warehouse schemas can also provide data abstraction.  Data modeling strategies for dimensions, hierarchies, facts and more are well documented.  </w:t>
      </w:r>
      <w:proofErr w:type="gramStart"/>
      <w:r w:rsidRPr="007B0D0A">
        <w:rPr>
          <w:rFonts w:cs="Arial"/>
          <w:sz w:val="20"/>
        </w:rPr>
        <w:t>Also</w:t>
      </w:r>
      <w:proofErr w:type="gramEnd"/>
      <w:r w:rsidRPr="007B0D0A">
        <w:rPr>
          <w:rFonts w:cs="Arial"/>
          <w:sz w:val="20"/>
        </w:rPr>
        <w:t xml:space="preserve"> well understood is the high cost and lack of agility in the data warehousing approach.  Further, data </w:t>
      </w:r>
      <w:proofErr w:type="gramStart"/>
      <w:r w:rsidRPr="007B0D0A">
        <w:rPr>
          <w:rFonts w:cs="Arial"/>
          <w:sz w:val="20"/>
        </w:rPr>
        <w:t>warehouse based</w:t>
      </w:r>
      <w:proofErr w:type="gramEnd"/>
      <w:r w:rsidRPr="007B0D0A">
        <w:rPr>
          <w:rFonts w:cs="Arial"/>
          <w:sz w:val="20"/>
        </w:rPr>
        <w:t xml:space="preserve"> schemas don’t include the many new classes of data (big data, cloud data, external data services and more) that reside outside the data warehouse. </w:t>
      </w:r>
    </w:p>
    <w:p w14:paraId="025C8238" w14:textId="77777777" w:rsidR="00E42930" w:rsidRPr="009A45E7" w:rsidRDefault="00E42930" w:rsidP="00E42930">
      <w:pPr>
        <w:pStyle w:val="Heading2"/>
        <w:rPr>
          <w:color w:val="1F497D"/>
          <w:sz w:val="23"/>
          <w:szCs w:val="23"/>
        </w:rPr>
      </w:pPr>
      <w:bookmarkStart w:id="11" w:name="_Toc353190102"/>
      <w:bookmarkStart w:id="12" w:name="_Toc365184160"/>
      <w:bookmarkStart w:id="13" w:name="_Toc419896932"/>
      <w:bookmarkStart w:id="14" w:name="_Toc48818875"/>
      <w:r w:rsidRPr="009A45E7">
        <w:rPr>
          <w:color w:val="1F497D"/>
          <w:sz w:val="23"/>
          <w:szCs w:val="23"/>
        </w:rPr>
        <w:t>Data Virtualization is a Superior Solution for Data Abstraction</w:t>
      </w:r>
      <w:bookmarkEnd w:id="11"/>
      <w:bookmarkEnd w:id="12"/>
      <w:bookmarkEnd w:id="13"/>
      <w:bookmarkEnd w:id="14"/>
    </w:p>
    <w:p w14:paraId="31FC405D" w14:textId="26933B15" w:rsidR="00E42930" w:rsidRPr="007B0D0A" w:rsidRDefault="00E42930" w:rsidP="00E42930">
      <w:pPr>
        <w:pStyle w:val="CS-Bodytext"/>
        <w:rPr>
          <w:rFonts w:cs="Arial"/>
          <w:sz w:val="18"/>
        </w:rPr>
      </w:pPr>
      <w:r w:rsidRPr="007B0D0A">
        <w:rPr>
          <w:rFonts w:cs="Arial"/>
          <w:sz w:val="20"/>
        </w:rPr>
        <w:t xml:space="preserve">Data virtualization is an optimal way to implement data abstraction at enterprise scale.  From an enterprise architecture point of view, </w:t>
      </w:r>
      <w:r w:rsidR="0069499D">
        <w:rPr>
          <w:rFonts w:cs="Arial"/>
          <w:sz w:val="20"/>
        </w:rPr>
        <w:t>Tibco</w:t>
      </w:r>
      <w:r>
        <w:rPr>
          <w:rFonts w:cs="Arial"/>
          <w:sz w:val="20"/>
        </w:rPr>
        <w:t>’s</w:t>
      </w:r>
      <w:r w:rsidRPr="007B0D0A">
        <w:rPr>
          <w:rFonts w:cs="Arial"/>
          <w:sz w:val="20"/>
        </w:rPr>
        <w:t xml:space="preserve"> data virtualization solution forms semantic abstraction or a data services layer in support of multiple consuming applications.  This middle layer of reusable services decouples the underlying source data and consuming solution layers. This provides the flexibility required to deal with each layer in the most effective manner, as well as the agility to work quickly across layers as applications, schemas or underlying data sources change. </w:t>
      </w:r>
      <w:r w:rsidRPr="007B0D0A">
        <w:rPr>
          <w:rFonts w:cs="Arial"/>
          <w:sz w:val="18"/>
        </w:rPr>
        <w:t xml:space="preserve"> </w:t>
      </w:r>
    </w:p>
    <w:p w14:paraId="353DF519" w14:textId="54E494B5" w:rsidR="00E42930" w:rsidRPr="0085138C" w:rsidRDefault="00E42930" w:rsidP="00E42930">
      <w:pPr>
        <w:pStyle w:val="CS-Bodytext"/>
        <w:ind w:left="1440"/>
        <w:rPr>
          <w:rFonts w:cs="Arial"/>
        </w:rPr>
      </w:pPr>
      <w:r w:rsidRPr="0085138C">
        <w:rPr>
          <w:rFonts w:cs="Arial"/>
          <w:noProof/>
        </w:rPr>
        <w:drawing>
          <wp:inline distT="0" distB="0" distL="0" distR="0" wp14:anchorId="63DE3C9A" wp14:editId="611099AE">
            <wp:extent cx="3378200" cy="3954145"/>
            <wp:effectExtent l="0" t="0" r="0" b="8255"/>
            <wp:docPr id="2" name="Picture 2" descr="DataAbstractionHighlevel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bstractionHighlevel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8200" cy="3954145"/>
                    </a:xfrm>
                    <a:prstGeom prst="rect">
                      <a:avLst/>
                    </a:prstGeom>
                    <a:noFill/>
                    <a:ln>
                      <a:noFill/>
                    </a:ln>
                  </pic:spPr>
                </pic:pic>
              </a:graphicData>
            </a:graphic>
          </wp:inline>
        </w:drawing>
      </w:r>
    </w:p>
    <w:p w14:paraId="24F08B3D" w14:textId="77777777" w:rsidR="00E42930" w:rsidRPr="0085138C" w:rsidRDefault="00E42930" w:rsidP="00E42930">
      <w:pPr>
        <w:pStyle w:val="CS-Bodytext"/>
        <w:ind w:left="2880"/>
        <w:rPr>
          <w:rFonts w:cs="Arial"/>
          <w:i/>
          <w:iCs/>
          <w:sz w:val="18"/>
          <w:szCs w:val="18"/>
        </w:rPr>
      </w:pPr>
      <w:r w:rsidRPr="0085138C">
        <w:rPr>
          <w:rFonts w:cs="Arial"/>
          <w:i/>
          <w:iCs/>
          <w:sz w:val="18"/>
          <w:szCs w:val="18"/>
        </w:rPr>
        <w:t xml:space="preserve"> Figure Two:   Data Abstraction</w:t>
      </w:r>
    </w:p>
    <w:p w14:paraId="3B1A5DC1" w14:textId="77777777" w:rsidR="00E42930" w:rsidRPr="007B0D0A" w:rsidRDefault="00E42930" w:rsidP="00E42930">
      <w:pPr>
        <w:pStyle w:val="CS-Bodytext"/>
        <w:rPr>
          <w:rFonts w:cs="Arial"/>
          <w:sz w:val="20"/>
        </w:rPr>
      </w:pPr>
      <w:r w:rsidRPr="007B0D0A">
        <w:rPr>
          <w:rFonts w:cs="Arial"/>
          <w:sz w:val="20"/>
        </w:rPr>
        <w:t>Data abstraction helps enterprises and government agencies achieve a number of key objectives including:</w:t>
      </w:r>
    </w:p>
    <w:p w14:paraId="7D8B9099"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Right business information at the right time </w:t>
      </w:r>
      <w:r w:rsidRPr="007B0D0A">
        <w:rPr>
          <w:rFonts w:cs="Arial"/>
          <w:sz w:val="20"/>
        </w:rPr>
        <w:t xml:space="preserve">– Fulfill complete information needs on demand by linking multiple, diverse data sources together for delivery in real-time. </w:t>
      </w:r>
    </w:p>
    <w:p w14:paraId="6E373577"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lastRenderedPageBreak/>
        <w:t>Business and IT model</w:t>
      </w:r>
      <w:r w:rsidRPr="007B0D0A">
        <w:rPr>
          <w:rFonts w:cs="Arial"/>
          <w:sz w:val="20"/>
        </w:rPr>
        <w:t xml:space="preserve"> </w:t>
      </w:r>
      <w:r w:rsidRPr="007B0D0A">
        <w:rPr>
          <w:rFonts w:cs="Arial"/>
          <w:b/>
          <w:sz w:val="20"/>
        </w:rPr>
        <w:t xml:space="preserve">alignment </w:t>
      </w:r>
      <w:r w:rsidRPr="007B0D0A">
        <w:rPr>
          <w:rFonts w:cs="Arial"/>
          <w:sz w:val="20"/>
        </w:rPr>
        <w:t xml:space="preserve">– Gain agility, efficiency, and reuse across applications via an enterprise information model or logical business model.  Often times, known as the canonical model, this abstracted approach overcomes data complexity, structure, and location issues. </w:t>
      </w:r>
    </w:p>
    <w:p w14:paraId="570B080C"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Business and IT change insulation </w:t>
      </w:r>
      <w:r w:rsidRPr="007B0D0A">
        <w:rPr>
          <w:rFonts w:cs="Arial"/>
          <w:sz w:val="20"/>
        </w:rPr>
        <w:t>– Insulate consuming applications from changes in the source and vice versa.  Developers create their applications based on a more stable view of the data.  Allow ongoing changes and relocation of physical data sources without impacting consumers.</w:t>
      </w:r>
    </w:p>
    <w:p w14:paraId="5D408AE6"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End-to-end control </w:t>
      </w:r>
      <w:r w:rsidRPr="007B0D0A">
        <w:rPr>
          <w:rFonts w:cs="Arial"/>
          <w:sz w:val="20"/>
        </w:rPr>
        <w:t>– Use a single platform to design, develop, manage and monitor data access and delivery processes across multiple sources and consumers.</w:t>
      </w:r>
    </w:p>
    <w:p w14:paraId="101D91E5" w14:textId="77777777" w:rsidR="00E42930" w:rsidRPr="007B0D0A" w:rsidRDefault="00E42930" w:rsidP="00E42930">
      <w:pPr>
        <w:pStyle w:val="CS-Bodytext"/>
        <w:numPr>
          <w:ilvl w:val="0"/>
          <w:numId w:val="40"/>
        </w:numPr>
        <w:spacing w:before="240" w:after="0"/>
        <w:rPr>
          <w:rFonts w:cs="Arial"/>
          <w:sz w:val="20"/>
        </w:rPr>
      </w:pPr>
      <w:r w:rsidRPr="007B0D0A">
        <w:rPr>
          <w:rFonts w:cs="Arial"/>
          <w:b/>
          <w:bCs/>
          <w:sz w:val="20"/>
        </w:rPr>
        <w:t xml:space="preserve">More secure data </w:t>
      </w:r>
      <w:r w:rsidRPr="007B0D0A">
        <w:rPr>
          <w:rFonts w:cs="Arial"/>
          <w:sz w:val="20"/>
        </w:rPr>
        <w:t xml:space="preserve">– Consistently apply data security rules across all data sources and consumers via a unified security methods and controls. </w:t>
      </w:r>
    </w:p>
    <w:p w14:paraId="5972A6BA" w14:textId="77777777" w:rsidR="00E42930" w:rsidRPr="009A45E7" w:rsidRDefault="00E42930" w:rsidP="00E42930">
      <w:pPr>
        <w:pStyle w:val="Heading2"/>
        <w:rPr>
          <w:color w:val="1F497D"/>
          <w:sz w:val="23"/>
          <w:szCs w:val="23"/>
        </w:rPr>
      </w:pPr>
      <w:bookmarkStart w:id="15" w:name="_Toc353190103"/>
      <w:bookmarkStart w:id="16" w:name="_Toc365184161"/>
      <w:bookmarkStart w:id="17" w:name="_Toc419896933"/>
      <w:bookmarkStart w:id="18" w:name="_Toc48818876"/>
      <w:r w:rsidRPr="009A45E7">
        <w:rPr>
          <w:color w:val="1F497D"/>
          <w:sz w:val="23"/>
          <w:szCs w:val="23"/>
        </w:rPr>
        <w:t>Selected Examples</w:t>
      </w:r>
      <w:bookmarkEnd w:id="15"/>
      <w:bookmarkEnd w:id="16"/>
      <w:bookmarkEnd w:id="17"/>
      <w:bookmarkEnd w:id="18"/>
    </w:p>
    <w:p w14:paraId="1E7311AD" w14:textId="4EA93D85" w:rsidR="00E42930" w:rsidRPr="007B0D0A" w:rsidRDefault="00E42930" w:rsidP="00E42930">
      <w:pPr>
        <w:spacing w:before="100" w:beforeAutospacing="1" w:after="100" w:afterAutospacing="1"/>
        <w:rPr>
          <w:rFonts w:ascii="Arial" w:hAnsi="Arial" w:cs="Arial"/>
          <w:sz w:val="20"/>
        </w:rPr>
      </w:pPr>
      <w:r w:rsidRPr="007B0D0A">
        <w:rPr>
          <w:rFonts w:ascii="Arial" w:hAnsi="Arial" w:cs="Arial"/>
          <w:b/>
          <w:bCs/>
          <w:sz w:val="20"/>
        </w:rPr>
        <w:t>Simplify Multiple Reporting Needs via Data Abstraction</w:t>
      </w:r>
      <w:r w:rsidRPr="007B0D0A">
        <w:rPr>
          <w:rFonts w:ascii="Arial" w:hAnsi="Arial" w:cs="Arial"/>
          <w:sz w:val="20"/>
        </w:rPr>
        <w:t xml:space="preserve"> – A major money-center bank implemented a data abstraction layer to simplify prime brokerage, reconciliation, risk management, and more (over 25 applications in all) from over 200 unique sources. This </w:t>
      </w:r>
      <w:r w:rsidR="0069499D">
        <w:rPr>
          <w:rFonts w:ascii="Arial" w:hAnsi="Arial" w:cs="Arial"/>
          <w:sz w:val="20"/>
        </w:rPr>
        <w:t>Tibco</w:t>
      </w:r>
      <w:r w:rsidRPr="007B0D0A">
        <w:rPr>
          <w:rFonts w:ascii="Arial" w:hAnsi="Arial" w:cs="Arial"/>
          <w:sz w:val="20"/>
        </w:rPr>
        <w:t xml:space="preserve"> data virtualization use case accelerated new reporting development and reduced IT costs.</w:t>
      </w:r>
    </w:p>
    <w:p w14:paraId="6BD13D23" w14:textId="0A6A6AA8" w:rsidR="00CA57B2" w:rsidRPr="00050F1C" w:rsidRDefault="00E42930" w:rsidP="00E42930">
      <w:pPr>
        <w:spacing w:after="120"/>
        <w:rPr>
          <w:rFonts w:ascii="Arial" w:hAnsi="Arial" w:cs="Arial"/>
        </w:rPr>
      </w:pPr>
      <w:r w:rsidRPr="007B0D0A">
        <w:rPr>
          <w:rFonts w:ascii="Arial" w:hAnsi="Arial" w:cs="Arial"/>
          <w:b/>
          <w:bCs/>
          <w:sz w:val="20"/>
        </w:rPr>
        <w:t>Accelerate Time to Market using Data Abstraction</w:t>
      </w:r>
      <w:r w:rsidRPr="007B0D0A">
        <w:rPr>
          <w:rFonts w:ascii="Arial" w:hAnsi="Arial" w:cs="Arial"/>
          <w:sz w:val="20"/>
        </w:rPr>
        <w:t xml:space="preserve"> – Pharmaceutical giant, Pfizer, Inc., implemented a data abstraction layer to simplify and accelerate access to a wide range of research and clinical trials data across its R&amp;D, marketing and manufacturing teams. Using </w:t>
      </w:r>
      <w:r w:rsidR="0069499D">
        <w:rPr>
          <w:rFonts w:ascii="Arial" w:hAnsi="Arial" w:cs="Arial"/>
          <w:sz w:val="20"/>
        </w:rPr>
        <w:t>Tibco</w:t>
      </w:r>
      <w:r w:rsidRPr="007B0D0A">
        <w:rPr>
          <w:rFonts w:ascii="Arial" w:hAnsi="Arial" w:cs="Arial"/>
          <w:sz w:val="20"/>
        </w:rPr>
        <w:t xml:space="preserve"> data virtualization in this way provides decision makers with the information required to bring new drugs to market faster, while adhering strictly to FDA regulations.</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594CA2E2" w:rsidR="00813FAE" w:rsidRDefault="00E42930" w:rsidP="00813FAE">
      <w:pPr>
        <w:pStyle w:val="Heading1Numbered"/>
      </w:pPr>
      <w:bookmarkStart w:id="19" w:name="_Toc48818877"/>
      <w:r>
        <w:lastRenderedPageBreak/>
        <w:t>Tibco’s Data Abstraction Reference Architecture</w:t>
      </w:r>
      <w:bookmarkEnd w:id="19"/>
    </w:p>
    <w:p w14:paraId="094A318E" w14:textId="386E68D7" w:rsidR="00E42930" w:rsidRPr="007B0D0A" w:rsidRDefault="00E42930" w:rsidP="00E42930">
      <w:pPr>
        <w:pStyle w:val="CS-Bodytext"/>
        <w:rPr>
          <w:rFonts w:cs="Arial"/>
          <w:sz w:val="18"/>
        </w:rPr>
      </w:pPr>
      <w:r w:rsidRPr="007B0D0A">
        <w:rPr>
          <w:rFonts w:cs="Arial"/>
          <w:sz w:val="20"/>
        </w:rPr>
        <w:t xml:space="preserve">The diagram below outlines the layers that form </w:t>
      </w:r>
      <w:r w:rsidR="0069499D">
        <w:rPr>
          <w:rFonts w:cs="Arial"/>
          <w:sz w:val="20"/>
        </w:rPr>
        <w:t>Tibco</w:t>
      </w:r>
      <w:r w:rsidRPr="007B0D0A">
        <w:rPr>
          <w:rFonts w:cs="Arial"/>
          <w:sz w:val="20"/>
        </w:rPr>
        <w:t xml:space="preserve">’s Data Abstraction Reference Architecture.  Architects and analysts can use this as a guide when abstracting data using </w:t>
      </w:r>
      <w:r w:rsidR="0069499D">
        <w:rPr>
          <w:rFonts w:cs="Arial"/>
          <w:sz w:val="20"/>
        </w:rPr>
        <w:t>Tibco</w:t>
      </w:r>
      <w:r w:rsidRPr="007B0D0A">
        <w:rPr>
          <w:rFonts w:cs="Arial"/>
          <w:sz w:val="20"/>
        </w:rPr>
        <w:t>’s data virtualization platfo</w:t>
      </w:r>
      <w:r w:rsidR="0069499D">
        <w:rPr>
          <w:rFonts w:cs="Arial"/>
          <w:sz w:val="20"/>
        </w:rPr>
        <w:t>rm.  The</w:t>
      </w:r>
      <w:r w:rsidRPr="007B0D0A">
        <w:rPr>
          <w:rFonts w:cs="Arial"/>
          <w:sz w:val="20"/>
        </w:rPr>
        <w:t xml:space="preserve"> various layers included in this reference architecture are described below:</w:t>
      </w:r>
    </w:p>
    <w:p w14:paraId="7E5BBBC5" w14:textId="32A1A184" w:rsidR="00E42930" w:rsidRPr="0085138C" w:rsidRDefault="00E42930" w:rsidP="00E42930">
      <w:pPr>
        <w:pStyle w:val="CS-Bodytext"/>
        <w:rPr>
          <w:rFonts w:cs="Arial"/>
        </w:rPr>
      </w:pPr>
      <w:r w:rsidRPr="0085138C">
        <w:rPr>
          <w:rFonts w:cs="Arial"/>
          <w:noProof/>
        </w:rPr>
        <w:drawing>
          <wp:inline distT="0" distB="0" distL="0" distR="0" wp14:anchorId="00604BD7" wp14:editId="30A7DBA2">
            <wp:extent cx="5935345" cy="3649345"/>
            <wp:effectExtent l="0" t="0" r="8255" b="8255"/>
            <wp:docPr id="13" name="Picture 13" descr="DataAbstractionHighlevelArchitecture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AbstractionHighlevelArchitecture_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649345"/>
                    </a:xfrm>
                    <a:prstGeom prst="rect">
                      <a:avLst/>
                    </a:prstGeom>
                    <a:noFill/>
                    <a:ln>
                      <a:noFill/>
                    </a:ln>
                  </pic:spPr>
                </pic:pic>
              </a:graphicData>
            </a:graphic>
          </wp:inline>
        </w:drawing>
      </w:r>
    </w:p>
    <w:p w14:paraId="203F8313" w14:textId="16347794" w:rsidR="00E42930" w:rsidRPr="0085138C" w:rsidRDefault="00E42930" w:rsidP="00E42930">
      <w:pPr>
        <w:pStyle w:val="CS-Bodytext"/>
        <w:ind w:left="2160"/>
        <w:rPr>
          <w:rFonts w:cs="Arial"/>
          <w:i/>
          <w:iCs/>
          <w:sz w:val="18"/>
          <w:szCs w:val="18"/>
        </w:rPr>
      </w:pPr>
      <w:r w:rsidRPr="0085138C">
        <w:rPr>
          <w:rFonts w:cs="Arial"/>
          <w:i/>
          <w:iCs/>
          <w:sz w:val="18"/>
          <w:szCs w:val="18"/>
        </w:rPr>
        <w:t xml:space="preserve">       Figure Three:  </w:t>
      </w:r>
      <w:r w:rsidR="0069499D">
        <w:rPr>
          <w:rFonts w:cs="Arial"/>
          <w:i/>
          <w:iCs/>
          <w:sz w:val="18"/>
          <w:szCs w:val="18"/>
        </w:rPr>
        <w:t>Tibco</w:t>
      </w:r>
      <w:r w:rsidRPr="0085138C">
        <w:rPr>
          <w:rFonts w:cs="Arial"/>
          <w:i/>
          <w:iCs/>
          <w:sz w:val="18"/>
          <w:szCs w:val="18"/>
        </w:rPr>
        <w:t>’s Data Abstraction Reference Architecture</w:t>
      </w:r>
    </w:p>
    <w:p w14:paraId="3F9426AD" w14:textId="19597B02" w:rsidR="00E42930" w:rsidRPr="007B0D0A" w:rsidRDefault="00E42930" w:rsidP="00E42930">
      <w:pPr>
        <w:pStyle w:val="CS-Bodytext"/>
        <w:numPr>
          <w:ilvl w:val="0"/>
          <w:numId w:val="21"/>
        </w:numPr>
        <w:rPr>
          <w:rFonts w:cs="Arial"/>
          <w:sz w:val="20"/>
        </w:rPr>
      </w:pPr>
      <w:r w:rsidRPr="007B0D0A">
        <w:rPr>
          <w:rFonts w:cs="Arial"/>
          <w:b/>
          <w:bCs/>
          <w:sz w:val="20"/>
        </w:rPr>
        <w:t xml:space="preserve">Data Consumers </w:t>
      </w:r>
      <w:r w:rsidRPr="007B0D0A">
        <w:rPr>
          <w:rFonts w:cs="Arial"/>
          <w:bCs/>
          <w:sz w:val="20"/>
        </w:rPr>
        <w:t>–</w:t>
      </w:r>
      <w:r w:rsidRPr="007B0D0A">
        <w:rPr>
          <w:rFonts w:cs="Arial"/>
          <w:b/>
          <w:bCs/>
          <w:sz w:val="20"/>
        </w:rPr>
        <w:t xml:space="preserve"> </w:t>
      </w:r>
      <w:r w:rsidRPr="007B0D0A">
        <w:rPr>
          <w:rFonts w:cs="Arial"/>
          <w:sz w:val="20"/>
        </w:rPr>
        <w:t xml:space="preserve">Client applications need to retrieve data in various formats and protocols that they understand.  </w:t>
      </w:r>
      <w:r w:rsidR="0069499D">
        <w:rPr>
          <w:rFonts w:cs="Arial"/>
          <w:sz w:val="20"/>
        </w:rPr>
        <w:t>Tibco</w:t>
      </w:r>
      <w:r w:rsidRPr="007B0D0A">
        <w:rPr>
          <w:rFonts w:cs="Arial"/>
          <w:sz w:val="20"/>
        </w:rPr>
        <w:t xml:space="preserve"> delivers the data to consumers using the most popular standards including SOAP, REST, JDBC, etc.</w:t>
      </w:r>
    </w:p>
    <w:p w14:paraId="319C8C39" w14:textId="77777777" w:rsidR="00E42930" w:rsidRPr="007B0D0A" w:rsidRDefault="00E42930" w:rsidP="00E42930">
      <w:pPr>
        <w:pStyle w:val="CS-Bodytext"/>
        <w:numPr>
          <w:ilvl w:val="0"/>
          <w:numId w:val="21"/>
        </w:numPr>
        <w:rPr>
          <w:rFonts w:cs="Arial"/>
          <w:sz w:val="20"/>
        </w:rPr>
      </w:pPr>
      <w:r w:rsidRPr="007B0D0A">
        <w:rPr>
          <w:rFonts w:cs="Arial"/>
          <w:b/>
          <w:bCs/>
          <w:sz w:val="20"/>
        </w:rPr>
        <w:t>Application Layer</w:t>
      </w:r>
      <w:r w:rsidRPr="007B0D0A">
        <w:rPr>
          <w:rFonts w:cs="Arial"/>
          <w:sz w:val="20"/>
        </w:rPr>
        <w:t xml:space="preserve"> – The “Application Layer” serves to map the Business Layer into the format which each application data consumer wants to see.  It might mean formatting into XML for Web services or creating views with different alias names that match the way the consumers are used to seeing their data. </w:t>
      </w:r>
    </w:p>
    <w:p w14:paraId="5DBC2439" w14:textId="77777777" w:rsidR="00E42930" w:rsidRPr="007B0D0A" w:rsidRDefault="00E42930" w:rsidP="00E42930">
      <w:pPr>
        <w:pStyle w:val="CS-Bodytext"/>
        <w:numPr>
          <w:ilvl w:val="0"/>
          <w:numId w:val="21"/>
        </w:numPr>
        <w:rPr>
          <w:rFonts w:cs="Arial"/>
          <w:sz w:val="20"/>
        </w:rPr>
      </w:pPr>
      <w:r w:rsidRPr="007B0D0A">
        <w:rPr>
          <w:rFonts w:cs="Arial"/>
          <w:b/>
          <w:bCs/>
          <w:sz w:val="20"/>
        </w:rPr>
        <w:t>Business Layer</w:t>
      </w:r>
      <w:r w:rsidRPr="007B0D0A">
        <w:rPr>
          <w:rFonts w:cs="Arial"/>
          <w:sz w:val="20"/>
        </w:rPr>
        <w:t xml:space="preserve"> – The “Business Layer” is predicated on the idea that the business has a standard or canonical way to describing key business entities such as customers and products.  In the financial industry, one often accesses information according to financial instruments and issuers amongst many other entities.  Typically, a data modeler would work with business experts and data providers to define a set of “logical” or “canonical” views that represent these business entities.   </w:t>
      </w:r>
      <w:r w:rsidRPr="007B0D0A">
        <w:rPr>
          <w:rFonts w:cs="Arial"/>
          <w:sz w:val="20"/>
        </w:rPr>
        <w:lastRenderedPageBreak/>
        <w:t xml:space="preserve">These views are reusable components that can and should be used across business lines by multiple consumers. </w:t>
      </w:r>
    </w:p>
    <w:p w14:paraId="15C67D6B" w14:textId="77777777" w:rsidR="00E42930" w:rsidRPr="007B0D0A" w:rsidRDefault="00E42930" w:rsidP="00E42930">
      <w:pPr>
        <w:pStyle w:val="CS-Bodytext"/>
        <w:numPr>
          <w:ilvl w:val="0"/>
          <w:numId w:val="21"/>
        </w:numPr>
        <w:rPr>
          <w:rFonts w:cs="Arial"/>
          <w:sz w:val="20"/>
        </w:rPr>
      </w:pPr>
      <w:r w:rsidRPr="007B0D0A">
        <w:rPr>
          <w:rFonts w:cs="Arial"/>
          <w:b/>
          <w:bCs/>
          <w:sz w:val="20"/>
        </w:rPr>
        <w:t>Physical Layer</w:t>
      </w:r>
      <w:r w:rsidRPr="007B0D0A">
        <w:rPr>
          <w:rFonts w:cs="Arial"/>
          <w:sz w:val="20"/>
        </w:rPr>
        <w:t xml:space="preserve"> – The “Physical Layer” provides access to underlying data sources and performs a physical to logical mapping by integrating physical metadata and formatting views.</w:t>
      </w:r>
    </w:p>
    <w:p w14:paraId="7AC63C1F" w14:textId="77777777" w:rsidR="00E42930" w:rsidRPr="007B0D0A" w:rsidRDefault="00E42930" w:rsidP="00E42930">
      <w:pPr>
        <w:pStyle w:val="CS-Bodytext"/>
        <w:numPr>
          <w:ilvl w:val="1"/>
          <w:numId w:val="21"/>
        </w:numPr>
        <w:rPr>
          <w:rFonts w:cs="Arial"/>
          <w:sz w:val="20"/>
        </w:rPr>
      </w:pPr>
      <w:r w:rsidRPr="007B0D0A">
        <w:rPr>
          <w:rFonts w:cs="Arial"/>
          <w:sz w:val="20"/>
        </w:rPr>
        <w:t xml:space="preserve">The physical “Metadata” is essentially imported from the physical data sources and used as way to onboard the metadata required by the data abstraction layer to perform its mapping functions.  As an “as-is” layer, entity names and attributes are never changed in this layer.  </w:t>
      </w:r>
    </w:p>
    <w:p w14:paraId="21FD71B1" w14:textId="6CD1092F" w:rsidR="00E42930" w:rsidRPr="007B0D0A" w:rsidRDefault="00E42930" w:rsidP="00E42930">
      <w:pPr>
        <w:pStyle w:val="CS-Bodytext"/>
        <w:numPr>
          <w:ilvl w:val="1"/>
          <w:numId w:val="21"/>
        </w:numPr>
        <w:rPr>
          <w:rFonts w:cs="Arial"/>
          <w:sz w:val="20"/>
        </w:rPr>
      </w:pPr>
      <w:r w:rsidRPr="007B0D0A">
        <w:rPr>
          <w:rFonts w:cs="Arial"/>
          <w:sz w:val="20"/>
        </w:rPr>
        <w:t xml:space="preserve">The “Formatting” resources provide a way to map the physical metadata into the Data Virtualization layer by aliasing the physical names to logical names.  </w:t>
      </w:r>
      <w:r w:rsidR="0069499D" w:rsidRPr="007B0D0A">
        <w:rPr>
          <w:rFonts w:cs="Arial"/>
          <w:sz w:val="20"/>
        </w:rPr>
        <w:t>Additionally,</w:t>
      </w:r>
      <w:r w:rsidRPr="007B0D0A">
        <w:rPr>
          <w:rFonts w:cs="Arial"/>
          <w:sz w:val="20"/>
        </w:rPr>
        <w:t xml:space="preserve"> the formatting views can facilitate simple tasks such as value formatting, data type casting, derived columns and light data quality mapping.  This layer is derived from the physical sources and performs a one-to-one mapping between the physical source attributes and their corresponding “logical/canonical” attribute name. This layer serves as a buffer between the physical source and the logical business layer views.  As such, caching may be introduced at this level if and when it makes sense.  Rebinding to different physical views during deployment is another role these views take on. Naming conventions are very important and introduced in this layer.</w:t>
      </w:r>
    </w:p>
    <w:p w14:paraId="680B5C64" w14:textId="12FF53AB" w:rsidR="00E4347C" w:rsidRDefault="00E42930" w:rsidP="00E42930">
      <w:pPr>
        <w:pStyle w:val="CS-Bodytext"/>
        <w:numPr>
          <w:ilvl w:val="0"/>
          <w:numId w:val="21"/>
        </w:numPr>
      </w:pPr>
      <w:r w:rsidRPr="007B0D0A">
        <w:rPr>
          <w:rFonts w:cs="Arial"/>
          <w:b/>
          <w:bCs/>
          <w:sz w:val="20"/>
        </w:rPr>
        <w:t>Data Sources</w:t>
      </w:r>
      <w:r w:rsidRPr="007B0D0A">
        <w:rPr>
          <w:rFonts w:cs="Arial"/>
          <w:sz w:val="20"/>
        </w:rPr>
        <w:t xml:space="preserve"> –The data sources are the physical information assets that exist within and without an organization.  These assets may be databases, packaged applications such as SAP, Web services, Excel spreadsheets and more.</w:t>
      </w:r>
    </w:p>
    <w:p w14:paraId="2C349B2B" w14:textId="613D0169" w:rsidR="00CA57B2" w:rsidRPr="00524EE5" w:rsidRDefault="00CA57B2" w:rsidP="00524EE5">
      <w:pPr>
        <w:pStyle w:val="CS-Bodytext"/>
        <w:spacing w:line="360" w:lineRule="auto"/>
        <w:ind w:left="720"/>
        <w:rPr>
          <w:rFonts w:cs="Arial"/>
          <w:sz w:val="20"/>
        </w:rPr>
      </w:pPr>
    </w:p>
    <w:p w14:paraId="79318E8B" w14:textId="4CDD86F1" w:rsidR="00CA57B2" w:rsidRDefault="00050F1C" w:rsidP="00CA57B2">
      <w:pPr>
        <w:pStyle w:val="Heading1Numbered"/>
      </w:pPr>
      <w:bookmarkStart w:id="20" w:name="_Toc48818878"/>
      <w:r>
        <w:lastRenderedPageBreak/>
        <w:t>Enabling Forrester’s Data Virtualization Vision</w:t>
      </w:r>
      <w:bookmarkEnd w:id="20"/>
    </w:p>
    <w:p w14:paraId="3716C704"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Forrester Research provides the following guidance for data abstraction in their “Data Virtualization Reaches Critical Mass” report.</w:t>
      </w:r>
    </w:p>
    <w:p w14:paraId="7FDDBA3E"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 xml:space="preserve">According to Forrester “Leading firms have implemented a layered architecture combining both physical and virtual data stores, choosing the appropriate mix based on different areas’ performance requirements. In the most-successful cases, the firms create an hourglass-shaped architecture that funnels mappings of disparate source data through canonical business information models. As a result, one large drug manufacturer is able to successfully operate with both IBM Cognos and SAP Business Objects BI tools for different customer groups, using data that has been reconciled against common metadata using virtualization. </w:t>
      </w:r>
    </w:p>
    <w:p w14:paraId="783EE75D"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In addition to the use of canonical models in the middle, we have identified two other noteworthy characteristics of this architecture: 1) virtual/physical modality choices tend to be more physical in the staging layers close to the actual data sources and more virtual as data moves closer to the users, and 2) a final virtual mapping layer ensures that the solution provides data to consumers in just the required format.”</w:t>
      </w:r>
    </w:p>
    <w:p w14:paraId="203ECAF5" w14:textId="2E3024B1"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8D57AAB" wp14:editId="06D67F7C">
            <wp:extent cx="3078268" cy="187427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446" cy="1894476"/>
                    </a:xfrm>
                    <a:prstGeom prst="rect">
                      <a:avLst/>
                    </a:prstGeom>
                    <a:noFill/>
                    <a:ln>
                      <a:noFill/>
                    </a:ln>
                  </pic:spPr>
                </pic:pic>
              </a:graphicData>
            </a:graphic>
          </wp:inline>
        </w:drawing>
      </w:r>
    </w:p>
    <w:p w14:paraId="23FCC956" w14:textId="77777777" w:rsidR="00050F1C" w:rsidRPr="005A04AB" w:rsidRDefault="00050F1C" w:rsidP="00050F1C">
      <w:pPr>
        <w:spacing w:after="200" w:line="276" w:lineRule="auto"/>
        <w:jc w:val="center"/>
        <w:rPr>
          <w:rFonts w:ascii="Arial" w:hAnsi="Arial" w:cs="Arial"/>
          <w:i/>
          <w:sz w:val="18"/>
        </w:rPr>
      </w:pPr>
      <w:r w:rsidRPr="005A04AB">
        <w:rPr>
          <w:rFonts w:ascii="Arial" w:hAnsi="Arial" w:cs="Arial"/>
          <w:bCs/>
          <w:i/>
          <w:sz w:val="18"/>
        </w:rPr>
        <w:t>Figure Four:  Source: Forrester Research Data Virtualization Reaches Critical Mass</w:t>
      </w:r>
    </w:p>
    <w:p w14:paraId="33C4A1CA" w14:textId="0ED5B81E" w:rsidR="00050F1C" w:rsidRPr="005A04AB" w:rsidRDefault="00050F1C" w:rsidP="00050F1C">
      <w:pPr>
        <w:spacing w:after="200" w:line="276" w:lineRule="auto"/>
        <w:ind w:right="14"/>
        <w:rPr>
          <w:rFonts w:ascii="Arial" w:hAnsi="Arial" w:cs="Arial"/>
          <w:bCs/>
          <w:sz w:val="20"/>
        </w:rPr>
      </w:pPr>
      <w:r w:rsidRPr="005A04AB">
        <w:rPr>
          <w:rFonts w:ascii="Arial" w:hAnsi="Arial" w:cs="Arial"/>
          <w:bCs/>
          <w:sz w:val="20"/>
        </w:rPr>
        <w:t xml:space="preserve">There is a striking resemblance between Forrester and </w:t>
      </w:r>
      <w:r>
        <w:rPr>
          <w:rFonts w:ascii="Arial" w:hAnsi="Arial" w:cs="Arial"/>
          <w:bCs/>
          <w:sz w:val="20"/>
        </w:rPr>
        <w:t>Tibco</w:t>
      </w:r>
      <w:r w:rsidRPr="005A04AB">
        <w:rPr>
          <w:rFonts w:ascii="Arial" w:hAnsi="Arial" w:cs="Arial"/>
          <w:bCs/>
          <w:sz w:val="20"/>
        </w:rPr>
        <w:t>’s best practice architectures:</w:t>
      </w:r>
    </w:p>
    <w:p w14:paraId="197F890B" w14:textId="59147245"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0CF986A" wp14:editId="26D19401">
            <wp:extent cx="3821853" cy="1776767"/>
            <wp:effectExtent l="0" t="0" r="0" b="1270"/>
            <wp:docPr id="20" name="Picture 20" descr="ForresterDV_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resterDV_Vi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00" cy="1779811"/>
                    </a:xfrm>
                    <a:prstGeom prst="rect">
                      <a:avLst/>
                    </a:prstGeom>
                    <a:noFill/>
                    <a:ln>
                      <a:noFill/>
                    </a:ln>
                  </pic:spPr>
                </pic:pic>
              </a:graphicData>
            </a:graphic>
          </wp:inline>
        </w:drawing>
      </w:r>
    </w:p>
    <w:p w14:paraId="6C178759" w14:textId="50AFE7B2" w:rsidR="00C47291" w:rsidRPr="00050F1C" w:rsidRDefault="00050F1C" w:rsidP="00050F1C">
      <w:pPr>
        <w:pStyle w:val="CS-Bodytext"/>
        <w:jc w:val="center"/>
        <w:rPr>
          <w:rFonts w:cs="Arial"/>
          <w:bCs/>
          <w:i/>
          <w:sz w:val="18"/>
        </w:rPr>
      </w:pPr>
      <w:r w:rsidRPr="005A04AB">
        <w:rPr>
          <w:rFonts w:cs="Arial"/>
          <w:bCs/>
          <w:i/>
          <w:sz w:val="18"/>
        </w:rPr>
        <w:t xml:space="preserve">Figure Five: Comparing Forrester and </w:t>
      </w:r>
      <w:r>
        <w:rPr>
          <w:rFonts w:cs="Arial"/>
          <w:bCs/>
          <w:i/>
          <w:sz w:val="18"/>
        </w:rPr>
        <w:t>Tibco</w:t>
      </w:r>
      <w:r w:rsidR="00D45182">
        <w:rPr>
          <w:rFonts w:cs="Arial"/>
          <w:bCs/>
          <w:i/>
          <w:sz w:val="18"/>
        </w:rPr>
        <w:t>’s</w:t>
      </w:r>
      <w:r w:rsidRPr="005A04AB">
        <w:rPr>
          <w:rFonts w:cs="Arial"/>
          <w:bCs/>
          <w:i/>
          <w:sz w:val="18"/>
        </w:rPr>
        <w:t xml:space="preserve"> best practices architectures</w:t>
      </w:r>
    </w:p>
    <w:p w14:paraId="1A2417A0" w14:textId="300F057A" w:rsidR="00CA57B2" w:rsidRDefault="00050F1C" w:rsidP="00CA57B2">
      <w:pPr>
        <w:pStyle w:val="Heading1Numbered"/>
      </w:pPr>
      <w:bookmarkStart w:id="21" w:name="_Toc48818879"/>
      <w:r>
        <w:lastRenderedPageBreak/>
        <w:t>Enabling Gartner’s Discipline of Data Integration</w:t>
      </w:r>
      <w:bookmarkEnd w:id="21"/>
    </w:p>
    <w:p w14:paraId="3E2A2C8E"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Since 2005, Gartner has been researching the concept of data services in relation the broader business and IT evolution. More recently, Gartner discussed the “Discipline of Data Integration” at the Business Intelligence Summit as shown in Figure Six.</w:t>
      </w:r>
    </w:p>
    <w:p w14:paraId="72FC0FB6" w14:textId="5DBD0684"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92F7F0F" wp14:editId="1438AFCD">
            <wp:extent cx="5943600" cy="2903855"/>
            <wp:effectExtent l="0" t="0" r="0" b="0"/>
            <wp:docPr id="23" name="Picture 23" descr="GartnersDataServicesVision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artnersDataServicesVision_v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4AF3A7F0" w14:textId="60FF59AD" w:rsidR="00050F1C" w:rsidRPr="005A04AB" w:rsidRDefault="00050F1C" w:rsidP="00050F1C">
      <w:pPr>
        <w:spacing w:after="200" w:line="276" w:lineRule="auto"/>
        <w:ind w:left="360"/>
        <w:jc w:val="center"/>
        <w:rPr>
          <w:rFonts w:ascii="Arial" w:hAnsi="Arial" w:cs="Arial"/>
          <w:i/>
          <w:iCs/>
          <w:sz w:val="18"/>
          <w:szCs w:val="18"/>
        </w:rPr>
      </w:pPr>
      <w:r w:rsidRPr="005A04AB">
        <w:rPr>
          <w:rFonts w:ascii="Arial" w:hAnsi="Arial" w:cs="Arial"/>
          <w:i/>
          <w:iCs/>
          <w:sz w:val="18"/>
          <w:szCs w:val="18"/>
        </w:rPr>
        <w:t xml:space="preserve">Figure Six:  </w:t>
      </w:r>
      <w:r>
        <w:rPr>
          <w:rFonts w:ascii="Arial" w:hAnsi="Arial" w:cs="Arial"/>
          <w:i/>
          <w:iCs/>
          <w:sz w:val="18"/>
          <w:szCs w:val="18"/>
        </w:rPr>
        <w:t>Tibco’s</w:t>
      </w:r>
      <w:r w:rsidRPr="005A04AB">
        <w:rPr>
          <w:rFonts w:ascii="Arial" w:hAnsi="Arial" w:cs="Arial"/>
          <w:i/>
          <w:iCs/>
          <w:sz w:val="18"/>
          <w:szCs w:val="18"/>
        </w:rPr>
        <w:t xml:space="preserve"> Data Abstraction Architecture Implements Gartner’s Discipline of Data Integration</w:t>
      </w:r>
    </w:p>
    <w:p w14:paraId="007E6E8B" w14:textId="77777777" w:rsidR="00050F1C" w:rsidRPr="005A04AB" w:rsidRDefault="00050F1C" w:rsidP="00050F1C">
      <w:pPr>
        <w:spacing w:after="200" w:line="276" w:lineRule="auto"/>
        <w:rPr>
          <w:rFonts w:ascii="Arial" w:hAnsi="Arial" w:cs="Arial"/>
          <w:sz w:val="20"/>
        </w:rPr>
      </w:pPr>
      <w:r w:rsidRPr="005A04AB">
        <w:rPr>
          <w:rFonts w:ascii="Arial" w:hAnsi="Arial" w:cs="Arial"/>
          <w:bCs/>
          <w:sz w:val="20"/>
        </w:rPr>
        <w:t>According to Gartner,</w:t>
      </w:r>
      <w:r w:rsidRPr="005A04AB">
        <w:rPr>
          <w:rFonts w:ascii="Arial" w:hAnsi="Arial" w:cs="Arial"/>
          <w:b/>
          <w:bCs/>
          <w:sz w:val="20"/>
        </w:rPr>
        <w:t xml:space="preserve"> “</w:t>
      </w:r>
      <w:r w:rsidRPr="005A04AB">
        <w:rPr>
          <w:rFonts w:ascii="Arial" w:hAnsi="Arial" w:cs="Arial"/>
          <w:sz w:val="20"/>
        </w:rPr>
        <w:t>The discipline of data integration comprises the practices, architectural techniques and tools for achieving consistent access to, and delivery of, data across the spectrum of data subject areas and data structure types in the enterprise, to meet the data consumption requirements of all applications and business processes. As such, data integration capabilities are at the heart of the information-centric infrastructure and will power the alignment and delivery of data in support of BI and performance management.</w:t>
      </w:r>
      <w:r w:rsidRPr="005A04AB">
        <w:rPr>
          <w:rFonts w:ascii="Arial" w:hAnsi="Arial" w:cs="Arial"/>
          <w:sz w:val="23"/>
          <w:szCs w:val="23"/>
        </w:rPr>
        <w:t xml:space="preserve"> </w:t>
      </w:r>
      <w:r w:rsidRPr="005A04AB">
        <w:rPr>
          <w:rFonts w:ascii="Arial" w:hAnsi="Arial" w:cs="Arial"/>
          <w:sz w:val="20"/>
        </w:rPr>
        <w:t>Contemporary pressures are leading to an increased investment in data integration in all industries and geographic regions. Business drivers, such as “the imperative for speed to market” and “agility to change business processes and models”, are forcing organizations to manage their data assets differently. Simplification of processes and the IT infrastructure are necessary to achieve transparency, and transparency requires a consistent and complete view of the data, which represents the performance and operation of the business.”</w:t>
      </w:r>
    </w:p>
    <w:p w14:paraId="0D63817F" w14:textId="6A52C7EC" w:rsidR="00050F1C" w:rsidRPr="005A04AB" w:rsidRDefault="00DA5379" w:rsidP="00050F1C">
      <w:pPr>
        <w:spacing w:after="200" w:line="276" w:lineRule="auto"/>
        <w:rPr>
          <w:rFonts w:ascii="Arial" w:hAnsi="Arial" w:cs="Arial"/>
          <w:sz w:val="20"/>
        </w:rPr>
      </w:pPr>
      <w:r>
        <w:rPr>
          <w:rFonts w:ascii="Arial" w:hAnsi="Arial" w:cs="Arial"/>
          <w:sz w:val="20"/>
        </w:rPr>
        <w:t>Tibco</w:t>
      </w:r>
      <w:r w:rsidR="00050F1C" w:rsidRPr="005A04AB">
        <w:rPr>
          <w:rFonts w:ascii="Arial" w:hAnsi="Arial" w:cs="Arial"/>
          <w:sz w:val="20"/>
        </w:rPr>
        <w:t xml:space="preserve">’s data abstraction reference architecture can be used to implement Gartner’s “Discipline of Data Integration” as follows: </w:t>
      </w:r>
    </w:p>
    <w:p w14:paraId="3D6BA50D" w14:textId="63ACE72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Practices </w:t>
      </w:r>
      <w:r w:rsidRPr="005A04AB">
        <w:rPr>
          <w:rFonts w:ascii="Arial" w:hAnsi="Arial" w:cs="Arial"/>
          <w:bCs/>
          <w:sz w:val="20"/>
        </w:rPr>
        <w:t>–</w:t>
      </w:r>
      <w:r w:rsidRPr="005A04AB">
        <w:rPr>
          <w:rFonts w:ascii="Arial" w:hAnsi="Arial" w:cs="Arial"/>
          <w:sz w:val="20"/>
        </w:rPr>
        <w:t xml:space="preserve"> </w:t>
      </w:r>
      <w:r w:rsidR="00DA5379">
        <w:rPr>
          <w:rFonts w:ascii="Arial" w:hAnsi="Arial" w:cs="Arial"/>
          <w:sz w:val="20"/>
        </w:rPr>
        <w:t>Tibco</w:t>
      </w:r>
      <w:r w:rsidRPr="005A04AB">
        <w:rPr>
          <w:rFonts w:ascii="Arial" w:hAnsi="Arial" w:cs="Arial"/>
          <w:sz w:val="20"/>
        </w:rPr>
        <w:t xml:space="preserve"> has shaped the best practices that customers use today to implement data virtualization in their organizations.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also has influenced the practices of recommended by leading IT analysts and system integrators.  This thought-leadership and real-world experience helps users gain confidence when deploying data virtualization in their organization.</w:t>
      </w:r>
    </w:p>
    <w:p w14:paraId="65A7C6BD" w14:textId="555034F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lastRenderedPageBreak/>
        <w:t xml:space="preserve">Architectural Techniques </w:t>
      </w:r>
      <w:r w:rsidRPr="005A04AB">
        <w:rPr>
          <w:rFonts w:ascii="Arial" w:hAnsi="Arial" w:cs="Arial"/>
          <w:bCs/>
          <w:sz w:val="20"/>
        </w:rPr>
        <w:t>–</w:t>
      </w:r>
      <w:r w:rsidRPr="005A04AB">
        <w:rPr>
          <w:rFonts w:ascii="Arial" w:hAnsi="Arial" w:cs="Arial"/>
          <w:sz w:val="20"/>
        </w:rPr>
        <w:t xml:space="preserve">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brings a wealth of knowledge and skills to help users architect their data virtualization solutions.  </w:t>
      </w:r>
      <w:r w:rsidR="00DA5379">
        <w:rPr>
          <w:rFonts w:ascii="Arial" w:hAnsi="Arial" w:cs="Arial"/>
          <w:sz w:val="20"/>
        </w:rPr>
        <w:t>Tibco</w:t>
      </w:r>
      <w:r w:rsidRPr="005A04AB">
        <w:rPr>
          <w:rFonts w:ascii="Arial" w:hAnsi="Arial" w:cs="Arial"/>
          <w:sz w:val="20"/>
        </w:rPr>
        <w:t xml:space="preserve">’s architectural techniques are including in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Quick Start program.  This program is designed to help customers get a project up and running quickly and maximize their return.  During this program, customers are introduced to the “Data Abstraction Best Practices Technical Guide” that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Consultants use an architectural techniques blueprint.</w:t>
      </w:r>
    </w:p>
    <w:p w14:paraId="70802F1A" w14:textId="388CF2C4"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Tools </w:t>
      </w:r>
      <w:r w:rsidRPr="005A04AB">
        <w:rPr>
          <w:rFonts w:ascii="Arial" w:hAnsi="Arial" w:cs="Arial"/>
          <w:sz w:val="20"/>
        </w:rPr>
        <w:t xml:space="preserve">– The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 xml:space="preserve">Data Virtualization Platform provides a complete and proven tool to implement Gartner’s “Discipline of Data Integration”.  </w:t>
      </w:r>
    </w:p>
    <w:p w14:paraId="009BEE9D" w14:textId="2E33A61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Business Context Services </w:t>
      </w:r>
      <w:r w:rsidRPr="005A04AB">
        <w:rPr>
          <w:rFonts w:ascii="Arial" w:hAnsi="Arial" w:cs="Arial"/>
          <w:sz w:val="20"/>
        </w:rPr>
        <w:t xml:space="preserve">– In </w:t>
      </w:r>
      <w:r w:rsidR="00DA5379">
        <w:rPr>
          <w:rFonts w:ascii="Arial" w:hAnsi="Arial" w:cs="Arial"/>
          <w:sz w:val="20"/>
        </w:rPr>
        <w:t>Tibco</w:t>
      </w:r>
      <w:r w:rsidRPr="005A04AB">
        <w:rPr>
          <w:rFonts w:ascii="Arial" w:hAnsi="Arial" w:cs="Arial"/>
          <w:sz w:val="20"/>
        </w:rPr>
        <w:t xml:space="preserve">’s reference architecture the Application Layer provides the mechanisms for mapping and publishing views or web services in the context of the applications.  </w:t>
      </w:r>
      <w:r w:rsidR="00DA5379">
        <w:rPr>
          <w:rFonts w:ascii="Arial" w:hAnsi="Arial" w:cs="Arial"/>
          <w:sz w:val="20"/>
        </w:rPr>
        <w:t>Tibco</w:t>
      </w:r>
      <w:r w:rsidRPr="005A04AB">
        <w:rPr>
          <w:rFonts w:ascii="Arial" w:hAnsi="Arial" w:cs="Arial"/>
          <w:sz w:val="20"/>
        </w:rPr>
        <w:t xml:space="preserve">’s Application Layer maps into Gartner’s Business Context Services.  Application consumers require delivery of data via different protocols.  Within </w:t>
      </w:r>
      <w:r w:rsidR="00DA5379">
        <w:rPr>
          <w:rFonts w:ascii="Arial" w:hAnsi="Arial" w:cs="Arial"/>
          <w:sz w:val="20"/>
        </w:rPr>
        <w:t>Tibco</w:t>
      </w:r>
      <w:r w:rsidRPr="005A04AB">
        <w:rPr>
          <w:rFonts w:ascii="Arial" w:hAnsi="Arial" w:cs="Arial"/>
          <w:sz w:val="20"/>
        </w:rPr>
        <w:t xml:space="preserve">’s reference model, data consumers use a variety of standard protocols including JDBC, ODBC, SOAP/HTTP, REST and ADO/.Net to access needed data.  These standard protocols support the BI, MDM, Web service API’s and Enterprise Objects </w:t>
      </w:r>
      <w:r w:rsidR="00DA5379" w:rsidRPr="005A04AB">
        <w:rPr>
          <w:rFonts w:ascii="Arial" w:hAnsi="Arial" w:cs="Arial"/>
          <w:sz w:val="20"/>
        </w:rPr>
        <w:t>consumers</w:t>
      </w:r>
      <w:r w:rsidRPr="005A04AB">
        <w:rPr>
          <w:rFonts w:ascii="Arial" w:hAnsi="Arial" w:cs="Arial"/>
          <w:sz w:val="20"/>
        </w:rPr>
        <w:t xml:space="preserve"> included by Gartner.</w:t>
      </w:r>
    </w:p>
    <w:p w14:paraId="791D9B61" w14:textId="46B565EB"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Semantic/Logical Services </w:t>
      </w:r>
      <w:r w:rsidRPr="005A04AB">
        <w:rPr>
          <w:rFonts w:ascii="Arial" w:hAnsi="Arial" w:cs="Arial"/>
          <w:sz w:val="20"/>
        </w:rPr>
        <w:t xml:space="preserve">– Gartner’s “Semantic/Logical” services provide for the transformation of the physical model into the business context view of the information.   The term logical and semantic are often referred to as canonical.  It is a way of defining a common data dictionary across the business.  The terms or attributes from this data dictionary are grouped together into semantically similar entities.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supports these needs with its formatting views.</w:t>
      </w:r>
    </w:p>
    <w:p w14:paraId="7FDEC7BB" w14:textId="63474787"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Data Manipulation Services </w:t>
      </w:r>
      <w:r w:rsidRPr="005A04AB">
        <w:rPr>
          <w:rFonts w:ascii="Arial" w:hAnsi="Arial" w:cs="Arial"/>
          <w:sz w:val="20"/>
        </w:rPr>
        <w:t xml:space="preserve">– Gartner’s “Manipulation” functions include Access, Storage, and Delivery which align with </w:t>
      </w:r>
      <w:r w:rsidR="00DA5379">
        <w:rPr>
          <w:rFonts w:ascii="Arial" w:hAnsi="Arial" w:cs="Arial"/>
          <w:sz w:val="20"/>
        </w:rPr>
        <w:t>Tibco</w:t>
      </w:r>
      <w:r w:rsidRPr="005A04AB">
        <w:rPr>
          <w:rFonts w:ascii="Arial" w:hAnsi="Arial" w:cs="Arial"/>
          <w:sz w:val="20"/>
        </w:rPr>
        <w:t xml:space="preserve">’s physical layer.  This is where </w:t>
      </w:r>
      <w:r w:rsidR="00DA5379">
        <w:rPr>
          <w:rFonts w:ascii="Arial" w:hAnsi="Arial" w:cs="Arial"/>
          <w:sz w:val="20"/>
        </w:rPr>
        <w:t>Tibco</w:t>
      </w:r>
      <w:r w:rsidRPr="005A04AB">
        <w:rPr>
          <w:rFonts w:ascii="Arial" w:hAnsi="Arial" w:cs="Arial"/>
          <w:sz w:val="20"/>
        </w:rPr>
        <w:t xml:space="preserve">’s introspection, discovery, and source data access tools expose the physical layer.  Increasingly,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is providing access to a wide array of data sources including relational, service oriented, file, packaged applications and big data.</w:t>
      </w:r>
    </w:p>
    <w:p w14:paraId="20A1411A" w14:textId="3096B068"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Optimization </w:t>
      </w:r>
      <w:r w:rsidRPr="005A04AB">
        <w:rPr>
          <w:rFonts w:ascii="Arial" w:hAnsi="Arial" w:cs="Arial"/>
          <w:bCs/>
          <w:sz w:val="20"/>
        </w:rPr>
        <w:t xml:space="preserve">– Both Gartner and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bCs/>
          <w:sz w:val="20"/>
        </w:rPr>
        <w:t xml:space="preserve">view optimization as spanning the entire architecture from source to consumer, both during design and runtime, perfectly matching how </w:t>
      </w:r>
      <w:r w:rsidR="00DA5379">
        <w:rPr>
          <w:rFonts w:ascii="Arial" w:hAnsi="Arial" w:cs="Arial"/>
          <w:sz w:val="20"/>
        </w:rPr>
        <w:t>Tibco</w:t>
      </w:r>
      <w:r w:rsidRPr="005A04AB">
        <w:rPr>
          <w:rFonts w:ascii="Arial" w:hAnsi="Arial" w:cs="Arial"/>
          <w:bCs/>
          <w:sz w:val="20"/>
        </w:rPr>
        <w:t>’s optimizers work.</w:t>
      </w:r>
    </w:p>
    <w:p w14:paraId="0E0350A2" w14:textId="37AFD4E3" w:rsidR="00E4347C" w:rsidRDefault="00050F1C" w:rsidP="00050F1C">
      <w:pPr>
        <w:pStyle w:val="CS-Bodytext"/>
        <w:rPr>
          <w:rFonts w:cs="Arial"/>
        </w:rPr>
      </w:pPr>
      <w:r w:rsidRPr="005A04AB">
        <w:rPr>
          <w:rFonts w:cs="Arial"/>
          <w:sz w:val="20"/>
        </w:rPr>
        <w:t>Gartner’s recent research on the Logical Data Warehouse extends and enhances this guidance.</w:t>
      </w:r>
    </w:p>
    <w:p w14:paraId="3702CD17" w14:textId="1D77F0C8" w:rsidR="00090AD9" w:rsidRPr="00E4347C" w:rsidRDefault="00090AD9" w:rsidP="00050F1C">
      <w:pPr>
        <w:pStyle w:val="CS-Bodytext"/>
        <w:spacing w:before="60" w:after="60"/>
        <w:ind w:right="14"/>
        <w:rPr>
          <w:sz w:val="20"/>
          <w:szCs w:val="20"/>
        </w:rPr>
      </w:pPr>
    </w:p>
    <w:p w14:paraId="4B176ABE" w14:textId="2570B2D4" w:rsidR="00524EE5" w:rsidRDefault="00050F1C" w:rsidP="00524EE5">
      <w:pPr>
        <w:pStyle w:val="Heading1Numbered"/>
      </w:pPr>
      <w:bookmarkStart w:id="22" w:name="_Toc48818880"/>
      <w:r>
        <w:lastRenderedPageBreak/>
        <w:t>User Roles and Responsibilities</w:t>
      </w:r>
      <w:bookmarkEnd w:id="22"/>
    </w:p>
    <w:p w14:paraId="40AB9851" w14:textId="1BC4B544"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Implementing an enterprise scale data abstraction layer involves a variety of IT staff as can be seen in below.   In this </w:t>
      </w:r>
      <w:r w:rsidR="0069499D" w:rsidRPr="005A04AB">
        <w:rPr>
          <w:rFonts w:ascii="Arial" w:hAnsi="Arial" w:cs="Arial"/>
          <w:sz w:val="20"/>
        </w:rPr>
        <w:t>section,</w:t>
      </w:r>
      <w:r w:rsidRPr="005A04AB">
        <w:rPr>
          <w:rFonts w:ascii="Arial" w:hAnsi="Arial" w:cs="Arial"/>
          <w:sz w:val="20"/>
        </w:rPr>
        <w:t xml:space="preserve"> we identify the roles and responsibilities needed for successful data abstraction layer development and operation.</w:t>
      </w:r>
    </w:p>
    <w:p w14:paraId="11FF32B8" w14:textId="1453B183"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FDF32C5" wp14:editId="62D80564">
            <wp:extent cx="5935345" cy="3759200"/>
            <wp:effectExtent l="0" t="0" r="8255" b="0"/>
            <wp:docPr id="24" name="Picture 24" descr="RolesAndResponsibilities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lesAndResponsibilities_v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759200"/>
                    </a:xfrm>
                    <a:prstGeom prst="rect">
                      <a:avLst/>
                    </a:prstGeom>
                    <a:noFill/>
                    <a:ln>
                      <a:noFill/>
                    </a:ln>
                  </pic:spPr>
                </pic:pic>
              </a:graphicData>
            </a:graphic>
          </wp:inline>
        </w:drawing>
      </w:r>
    </w:p>
    <w:p w14:paraId="064987C7" w14:textId="77777777" w:rsidR="00050F1C" w:rsidRPr="005A04AB" w:rsidRDefault="00050F1C" w:rsidP="00050F1C">
      <w:pPr>
        <w:spacing w:after="200" w:line="276" w:lineRule="auto"/>
        <w:ind w:left="1440" w:firstLine="720"/>
        <w:rPr>
          <w:rFonts w:ascii="Arial" w:hAnsi="Arial" w:cs="Arial"/>
          <w:i/>
          <w:iCs/>
          <w:sz w:val="18"/>
          <w:szCs w:val="18"/>
        </w:rPr>
      </w:pPr>
      <w:r w:rsidRPr="005A04AB">
        <w:rPr>
          <w:rFonts w:ascii="Arial" w:hAnsi="Arial" w:cs="Arial"/>
          <w:i/>
          <w:iCs/>
          <w:sz w:val="18"/>
          <w:szCs w:val="18"/>
        </w:rPr>
        <w:t xml:space="preserve">Figure Seven:  Data Abstraction Roles and Responsibilities </w:t>
      </w:r>
    </w:p>
    <w:p w14:paraId="4DEA82FB" w14:textId="77777777" w:rsidR="00050F1C" w:rsidRPr="005A04AB" w:rsidRDefault="00050F1C" w:rsidP="00050F1C">
      <w:pPr>
        <w:spacing w:after="200" w:line="276" w:lineRule="auto"/>
        <w:rPr>
          <w:rFonts w:ascii="Arial" w:hAnsi="Arial" w:cs="Arial"/>
          <w:i/>
          <w:iCs/>
          <w:sz w:val="20"/>
        </w:rPr>
      </w:pPr>
      <w:r w:rsidRPr="005A04AB">
        <w:rPr>
          <w:rFonts w:ascii="Arial" w:hAnsi="Arial" w:cs="Arial"/>
          <w:sz w:val="20"/>
        </w:rPr>
        <w:t>The following roles and responsibilities should be considered when implementing a data abstraction layer:</w:t>
      </w:r>
    </w:p>
    <w:p w14:paraId="38AFBF09" w14:textId="6BE8831F"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Application Developers</w:t>
      </w:r>
      <w:r w:rsidRPr="005A04AB">
        <w:rPr>
          <w:rFonts w:ascii="Arial" w:hAnsi="Arial" w:cs="Arial"/>
          <w:bCs/>
          <w:sz w:val="20"/>
        </w:rPr>
        <w:t xml:space="preserve"> –</w:t>
      </w:r>
      <w:r w:rsidRPr="005A04AB">
        <w:rPr>
          <w:rFonts w:ascii="Arial" w:hAnsi="Arial" w:cs="Arial"/>
          <w:b/>
          <w:bCs/>
          <w:sz w:val="20"/>
        </w:rPr>
        <w:t xml:space="preserve"> </w:t>
      </w:r>
      <w:r w:rsidRPr="005A04AB">
        <w:rPr>
          <w:rFonts w:ascii="Arial" w:hAnsi="Arial" w:cs="Arial"/>
          <w:sz w:val="20"/>
        </w:rPr>
        <w:t xml:space="preserve">Application developers are concerned with the API’s and the various mechanisms by which they can access the data from the data abstraction layer.  Often times, data lineage is important to the client-side developers because they need to know the originating source.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 xml:space="preserve">can provide data lineage from the client services views down to the physical metadata. </w:t>
      </w:r>
    </w:p>
    <w:p w14:paraId="49408CAB" w14:textId="769ECC6D"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Enterprise Data Modelers and Data Architects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Enterprise data modelers and data architects work with subject matter experts who know the business and use their expertise to craft logical data models.  These logical data models can be further refined into something that is closer to a logical database design which could be used as the basis for building views in the business layer.  Enterprise data modelers work with </w:t>
      </w:r>
      <w:r w:rsidR="008B4947">
        <w:rPr>
          <w:rFonts w:ascii="Arial" w:hAnsi="Arial" w:cs="Arial"/>
          <w:sz w:val="20"/>
        </w:rPr>
        <w:t>Tibco</w:t>
      </w:r>
      <w:r w:rsidRPr="005A04AB">
        <w:rPr>
          <w:rFonts w:ascii="Arial" w:hAnsi="Arial" w:cs="Arial"/>
          <w:sz w:val="20"/>
        </w:rPr>
        <w:t xml:space="preserve"> developers to design effective views and services. </w:t>
      </w:r>
    </w:p>
    <w:p w14:paraId="4C615223" w14:textId="562595D3" w:rsidR="00050F1C" w:rsidRPr="005A04AB" w:rsidRDefault="00DA5379" w:rsidP="00813FAE">
      <w:pPr>
        <w:numPr>
          <w:ilvl w:val="0"/>
          <w:numId w:val="24"/>
        </w:numPr>
        <w:spacing w:after="200" w:line="276" w:lineRule="auto"/>
        <w:rPr>
          <w:rFonts w:ascii="Arial" w:hAnsi="Arial" w:cs="Arial"/>
          <w:sz w:val="20"/>
        </w:rPr>
      </w:pPr>
      <w:r>
        <w:rPr>
          <w:rFonts w:ascii="Arial" w:hAnsi="Arial" w:cs="Arial"/>
          <w:b/>
          <w:bCs/>
          <w:sz w:val="20"/>
        </w:rPr>
        <w:lastRenderedPageBreak/>
        <w:t>Tibco</w:t>
      </w:r>
      <w:r w:rsidR="00050F1C" w:rsidRPr="005A04AB">
        <w:rPr>
          <w:rFonts w:ascii="Arial" w:hAnsi="Arial" w:cs="Arial"/>
          <w:b/>
          <w:bCs/>
          <w:sz w:val="20"/>
        </w:rPr>
        <w:t xml:space="preserve"> Developers</w:t>
      </w:r>
      <w:r w:rsidR="00050F1C" w:rsidRPr="005A04AB">
        <w:rPr>
          <w:rFonts w:ascii="Arial" w:hAnsi="Arial" w:cs="Arial"/>
          <w:sz w:val="20"/>
        </w:rPr>
        <w:t xml:space="preserve"> </w:t>
      </w:r>
      <w:r w:rsidR="00050F1C" w:rsidRPr="005A04AB">
        <w:rPr>
          <w:rFonts w:ascii="Arial" w:hAnsi="Arial" w:cs="Arial"/>
          <w:bCs/>
          <w:sz w:val="20"/>
        </w:rPr>
        <w:t>–</w:t>
      </w:r>
      <w:r w:rsidR="00050F1C" w:rsidRPr="005A04AB">
        <w:rPr>
          <w:rFonts w:ascii="Arial" w:hAnsi="Arial" w:cs="Arial"/>
          <w:b/>
          <w:bCs/>
          <w:sz w:val="20"/>
        </w:rPr>
        <w:t xml:space="preserve"> </w:t>
      </w:r>
      <w:r>
        <w:rPr>
          <w:rFonts w:ascii="Arial" w:hAnsi="Arial" w:cs="Arial"/>
          <w:sz w:val="20"/>
        </w:rPr>
        <w:t>Tibco</w:t>
      </w:r>
      <w:r w:rsidR="00050F1C" w:rsidRPr="005A04AB">
        <w:rPr>
          <w:rFonts w:ascii="Arial" w:hAnsi="Arial" w:cs="Arial"/>
          <w:sz w:val="20"/>
        </w:rPr>
        <w:t xml:space="preserve"> developers are responsible for the implementation of the layers using the </w:t>
      </w:r>
      <w:r>
        <w:rPr>
          <w:rFonts w:ascii="Arial" w:hAnsi="Arial" w:cs="Arial"/>
          <w:sz w:val="20"/>
        </w:rPr>
        <w:t>Tibco</w:t>
      </w:r>
      <w:r w:rsidR="00050F1C" w:rsidRPr="005A04AB">
        <w:rPr>
          <w:rFonts w:ascii="Arial" w:hAnsi="Arial" w:cs="Arial"/>
          <w:sz w:val="20"/>
        </w:rPr>
        <w:t xml:space="preserve"> data virtualization middleware.  This implementation is based on the overall architecture and concepts laid forth in this document and performed in conjunction with the other teams involved.  They need to understand the application developer requirements so they can construct the API layers and views above the business layer as well as the underlying sources. Beyond lineage tools and folders available within </w:t>
      </w:r>
      <w:r>
        <w:rPr>
          <w:rFonts w:ascii="Arial" w:hAnsi="Arial" w:cs="Arial"/>
          <w:sz w:val="20"/>
        </w:rPr>
        <w:t>Tibco</w:t>
      </w:r>
      <w:r w:rsidR="00050F1C" w:rsidRPr="005A04AB">
        <w:rPr>
          <w:rFonts w:ascii="Arial" w:hAnsi="Arial" w:cs="Arial"/>
          <w:sz w:val="20"/>
        </w:rPr>
        <w:t xml:space="preserve">, these developers often use additional control systems to understand and manage key mappings across the various layers. </w:t>
      </w:r>
    </w:p>
    <w:p w14:paraId="4C98F6A2" w14:textId="22D0BA7B" w:rsidR="00050F1C" w:rsidRPr="005A04AB" w:rsidRDefault="00050F1C" w:rsidP="00813FAE">
      <w:pPr>
        <w:numPr>
          <w:ilvl w:val="0"/>
          <w:numId w:val="24"/>
        </w:numPr>
        <w:spacing w:after="200" w:line="276" w:lineRule="auto"/>
        <w:rPr>
          <w:rFonts w:ascii="Arial" w:hAnsi="Arial" w:cs="Arial"/>
          <w:sz w:val="20"/>
        </w:rPr>
      </w:pPr>
      <w:r w:rsidRPr="005A04AB">
        <w:rPr>
          <w:rFonts w:ascii="Arial" w:hAnsi="Arial" w:cs="Arial"/>
          <w:b/>
          <w:bCs/>
          <w:sz w:val="20"/>
        </w:rPr>
        <w:t xml:space="preserve">Database Administrators (DBAs) and Database Modelers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DBAs and database modelers provide access to the physical data sources.  Further they help define logical database designs from their corresponding physical database designs and implementations.  They work with </w:t>
      </w:r>
      <w:r w:rsidR="00DA5379">
        <w:rPr>
          <w:rFonts w:ascii="Arial" w:hAnsi="Arial" w:cs="Arial"/>
          <w:sz w:val="20"/>
        </w:rPr>
        <w:t>Tibco</w:t>
      </w:r>
      <w:r w:rsidRPr="005A04AB">
        <w:rPr>
          <w:rFonts w:ascii="Arial" w:hAnsi="Arial" w:cs="Arial"/>
          <w:sz w:val="20"/>
        </w:rPr>
        <w:t xml:space="preserve"> developers to ensure are properly tuned and assist with creating indexes if necessary. </w:t>
      </w:r>
    </w:p>
    <w:p w14:paraId="2A660080" w14:textId="69CD9C72" w:rsidR="00E4347C" w:rsidRDefault="00050F1C" w:rsidP="0069499D">
      <w:pPr>
        <w:pStyle w:val="CS-Bodytext"/>
        <w:numPr>
          <w:ilvl w:val="0"/>
          <w:numId w:val="24"/>
        </w:numPr>
        <w:rPr>
          <w:rFonts w:cs="Arial"/>
        </w:rPr>
      </w:pPr>
      <w:r w:rsidRPr="005A04AB">
        <w:rPr>
          <w:rFonts w:cs="Arial"/>
          <w:b/>
          <w:bCs/>
          <w:sz w:val="20"/>
        </w:rPr>
        <w:t xml:space="preserve">Data Governance Teams </w:t>
      </w:r>
      <w:r w:rsidRPr="005A04AB">
        <w:rPr>
          <w:rFonts w:cs="Arial"/>
          <w:bCs/>
          <w:sz w:val="20"/>
        </w:rPr>
        <w:t>–</w:t>
      </w:r>
      <w:r w:rsidRPr="005A04AB">
        <w:rPr>
          <w:rFonts w:cs="Arial"/>
          <w:sz w:val="20"/>
        </w:rPr>
        <w:t> Data governance staff are involved throughout the process making sure that enterprise data access and data mapping rules are followed.  Further, they provide guidance on how data should be modeled and often help to resolve data quality issues.</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9FD536C" w:rsidR="00E4347C" w:rsidRDefault="00050F1C" w:rsidP="00E4347C">
      <w:pPr>
        <w:pStyle w:val="Heading1Numbered"/>
      </w:pPr>
      <w:bookmarkStart w:id="23" w:name="_Toc48818881"/>
      <w:r>
        <w:lastRenderedPageBreak/>
        <w:t>Data Service Design Guidance</w:t>
      </w:r>
      <w:bookmarkEnd w:id="23"/>
    </w:p>
    <w:p w14:paraId="0313D41D" w14:textId="67C24ADC" w:rsidR="0069499D" w:rsidRPr="0085138C" w:rsidRDefault="0069499D" w:rsidP="0069499D">
      <w:pPr>
        <w:pStyle w:val="CS-Bodytext"/>
        <w:rPr>
          <w:rFonts w:cs="Arial"/>
          <w:sz w:val="20"/>
        </w:rPr>
      </w:pPr>
      <w:r w:rsidRPr="0085138C">
        <w:rPr>
          <w:rFonts w:cs="Arial"/>
          <w:sz w:val="20"/>
        </w:rPr>
        <w:t xml:space="preserve">In this section, the data service design and development efforts required to implement </w:t>
      </w:r>
      <w:r>
        <w:rPr>
          <w:rFonts w:cs="Arial"/>
          <w:sz w:val="20"/>
        </w:rPr>
        <w:t>Tibco</w:t>
      </w:r>
      <w:r w:rsidRPr="0085138C">
        <w:rPr>
          <w:rFonts w:cs="Arial"/>
          <w:sz w:val="20"/>
        </w:rPr>
        <w:t xml:space="preserve">’s data abstraction reference architecture are described starting with the physical layer and moving up the consumer.  This is representative of how a typical </w:t>
      </w:r>
      <w:r>
        <w:rPr>
          <w:rFonts w:cs="Arial"/>
          <w:sz w:val="20"/>
        </w:rPr>
        <w:t>Tibco</w:t>
      </w:r>
      <w:r w:rsidRPr="0085138C">
        <w:rPr>
          <w:rFonts w:cs="Arial"/>
          <w:sz w:val="20"/>
        </w:rPr>
        <w:t xml:space="preserve"> developer would approach this activity.</w:t>
      </w:r>
    </w:p>
    <w:p w14:paraId="2ABD2165" w14:textId="77777777" w:rsidR="0069499D" w:rsidRPr="00E67B89" w:rsidRDefault="0069499D" w:rsidP="0069499D">
      <w:pPr>
        <w:pStyle w:val="Heading2"/>
        <w:rPr>
          <w:i/>
          <w:color w:val="1F497D"/>
          <w:sz w:val="23"/>
          <w:szCs w:val="23"/>
        </w:rPr>
      </w:pPr>
      <w:bookmarkStart w:id="24" w:name="_Toc351115308"/>
      <w:bookmarkStart w:id="25" w:name="_Toc353190109"/>
      <w:bookmarkStart w:id="26" w:name="_Toc365184167"/>
      <w:bookmarkStart w:id="27" w:name="_Toc419896939"/>
      <w:bookmarkStart w:id="28" w:name="_Toc48818882"/>
      <w:r w:rsidRPr="00E67B89">
        <w:rPr>
          <w:i/>
          <w:color w:val="1F497D"/>
          <w:sz w:val="23"/>
          <w:szCs w:val="23"/>
        </w:rPr>
        <w:t>Physical Layer</w:t>
      </w:r>
      <w:bookmarkEnd w:id="24"/>
      <w:bookmarkEnd w:id="25"/>
      <w:bookmarkEnd w:id="26"/>
      <w:bookmarkEnd w:id="27"/>
      <w:bookmarkEnd w:id="28"/>
    </w:p>
    <w:p w14:paraId="34B6F6C3" w14:textId="540FCAC6" w:rsidR="0069499D" w:rsidRPr="0085138C" w:rsidRDefault="0069499D" w:rsidP="0069499D">
      <w:pPr>
        <w:pStyle w:val="CS-Bodytext"/>
        <w:rPr>
          <w:rFonts w:cs="Arial"/>
          <w:sz w:val="20"/>
        </w:rPr>
      </w:pPr>
      <w:r w:rsidRPr="0085138C">
        <w:rPr>
          <w:rFonts w:cs="Arial"/>
          <w:sz w:val="20"/>
        </w:rPr>
        <w:t xml:space="preserve">The </w:t>
      </w:r>
      <w:r>
        <w:rPr>
          <w:rFonts w:cs="Arial"/>
          <w:sz w:val="20"/>
        </w:rPr>
        <w:t xml:space="preserve">physical </w:t>
      </w:r>
      <w:r w:rsidRPr="0085138C">
        <w:rPr>
          <w:rFonts w:cs="Arial"/>
          <w:sz w:val="20"/>
        </w:rPr>
        <w:t>“</w:t>
      </w:r>
      <w:r w:rsidRPr="0085138C">
        <w:rPr>
          <w:rFonts w:cs="Arial"/>
          <w:b/>
          <w:sz w:val="20"/>
        </w:rPr>
        <w:t>Metadata</w:t>
      </w:r>
      <w:r w:rsidRPr="0085138C">
        <w:rPr>
          <w:rFonts w:cs="Arial"/>
          <w:sz w:val="20"/>
        </w:rPr>
        <w:t xml:space="preserve">” is imported from the customer’s data sources.  It provides a physical representation of the data source’s metadata which structurally looks exactly like the data sources; however, it does not store any data.  In essence, it is a virtual representation of the data source.  </w:t>
      </w:r>
    </w:p>
    <w:p w14:paraId="6A2563DD" w14:textId="43FA7762" w:rsidR="0069499D" w:rsidRPr="0085138C" w:rsidRDefault="0069499D" w:rsidP="0069499D">
      <w:pPr>
        <w:pStyle w:val="CS-Bodytext"/>
        <w:rPr>
          <w:rFonts w:cs="Arial"/>
        </w:rPr>
      </w:pPr>
      <w:r w:rsidRPr="0085138C">
        <w:rPr>
          <w:rFonts w:cs="Arial"/>
          <w:i/>
          <w:iCs/>
          <w:noProof/>
        </w:rPr>
        <w:drawing>
          <wp:inline distT="0" distB="0" distL="0" distR="0" wp14:anchorId="17E63A40" wp14:editId="651DD17C">
            <wp:extent cx="5943600" cy="1430655"/>
            <wp:effectExtent l="0" t="0" r="0" b="0"/>
            <wp:docPr id="87" name="Picture 87" descr="Physical_Layer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hysical_Layer_v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37750B00" w14:textId="77777777" w:rsidR="0069499D" w:rsidRPr="0085138C" w:rsidRDefault="0069499D" w:rsidP="0069499D">
      <w:pPr>
        <w:pStyle w:val="CS-Bodytext"/>
        <w:ind w:left="2880"/>
        <w:rPr>
          <w:rFonts w:cs="Arial"/>
          <w:i/>
          <w:iCs/>
          <w:sz w:val="18"/>
          <w:szCs w:val="18"/>
        </w:rPr>
      </w:pPr>
      <w:r w:rsidRPr="0085138C">
        <w:rPr>
          <w:rFonts w:cs="Arial"/>
          <w:i/>
          <w:iCs/>
          <w:sz w:val="18"/>
          <w:szCs w:val="18"/>
        </w:rPr>
        <w:t xml:space="preserve">        Figure Eight: Physical Layer </w:t>
      </w:r>
    </w:p>
    <w:p w14:paraId="2033C031" w14:textId="66E5CEF4" w:rsidR="0069499D" w:rsidRPr="0085138C" w:rsidRDefault="0069499D" w:rsidP="0069499D">
      <w:pPr>
        <w:pStyle w:val="CS-Bodytext"/>
        <w:rPr>
          <w:rFonts w:cs="Arial"/>
          <w:sz w:val="20"/>
        </w:rPr>
      </w:pPr>
      <w:r w:rsidRPr="0085138C">
        <w:rPr>
          <w:rFonts w:cs="Arial"/>
          <w:sz w:val="20"/>
        </w:rPr>
        <w:t xml:space="preserve">In </w:t>
      </w:r>
      <w:r>
        <w:rPr>
          <w:rFonts w:cs="Arial"/>
          <w:sz w:val="20"/>
        </w:rPr>
        <w:t>Tibco</w:t>
      </w:r>
      <w:r w:rsidRPr="0085138C">
        <w:rPr>
          <w:rFonts w:cs="Arial"/>
          <w:sz w:val="20"/>
        </w:rPr>
        <w:t xml:space="preserve">, the “New Data Source” wizard tool walks the </w:t>
      </w:r>
      <w:r>
        <w:rPr>
          <w:rFonts w:cs="Arial"/>
          <w:sz w:val="20"/>
        </w:rPr>
        <w:t>Tibco</w:t>
      </w:r>
      <w:r w:rsidRPr="0085138C">
        <w:rPr>
          <w:rFonts w:cs="Arial"/>
          <w:sz w:val="20"/>
        </w:rPr>
        <w:t xml:space="preserve"> developer through a series of screens to import metadata for a source to generate this physical metadata.  There are no manual steps involved here.  Physical sources can be relational (tables, views, stored procedures, SQL Statements), Web services, Flat delimited files, XML files, Java functions, packaged applications such as SAP and much more.  Besides capturing table and column structures, this wizard performs introspection of indexes, primary keys and foreign keys.  This metadata also includes cardinality statistics on source tables used by </w:t>
      </w:r>
      <w:r>
        <w:rPr>
          <w:rFonts w:cs="Arial"/>
          <w:sz w:val="20"/>
        </w:rPr>
        <w:t>Tibco</w:t>
      </w:r>
      <w:r w:rsidRPr="0085138C">
        <w:rPr>
          <w:rFonts w:cs="Arial"/>
          <w:sz w:val="20"/>
        </w:rPr>
        <w:t xml:space="preserve">’s cost-based optimizers. </w:t>
      </w:r>
    </w:p>
    <w:p w14:paraId="7C60CC52" w14:textId="3789F33D" w:rsidR="0069499D" w:rsidRPr="0085138C" w:rsidRDefault="0069499D" w:rsidP="0069499D">
      <w:pPr>
        <w:pStyle w:val="CS-Bodytext"/>
        <w:ind w:left="2880"/>
        <w:rPr>
          <w:rFonts w:cs="Arial"/>
        </w:rPr>
      </w:pPr>
      <w:r w:rsidRPr="0085138C">
        <w:rPr>
          <w:rFonts w:cs="Arial"/>
          <w:noProof/>
        </w:rPr>
        <w:drawing>
          <wp:inline distT="0" distB="0" distL="0" distR="0" wp14:anchorId="7655797F" wp14:editId="139789B0">
            <wp:extent cx="1617345" cy="2540000"/>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7345" cy="2540000"/>
                    </a:xfrm>
                    <a:prstGeom prst="rect">
                      <a:avLst/>
                    </a:prstGeom>
                    <a:noFill/>
                    <a:ln>
                      <a:noFill/>
                    </a:ln>
                  </pic:spPr>
                </pic:pic>
              </a:graphicData>
            </a:graphic>
          </wp:inline>
        </w:drawing>
      </w:r>
    </w:p>
    <w:p w14:paraId="288B72A8" w14:textId="77777777" w:rsidR="0069499D" w:rsidRPr="0085138C" w:rsidRDefault="0069499D" w:rsidP="0069499D">
      <w:pPr>
        <w:pStyle w:val="CS-Bodytext"/>
        <w:ind w:left="1440"/>
        <w:rPr>
          <w:rFonts w:cs="Arial"/>
          <w:i/>
          <w:iCs/>
          <w:sz w:val="18"/>
          <w:szCs w:val="18"/>
        </w:rPr>
      </w:pPr>
      <w:r w:rsidRPr="0085138C">
        <w:rPr>
          <w:rFonts w:cs="Arial"/>
          <w:i/>
          <w:iCs/>
          <w:sz w:val="18"/>
          <w:szCs w:val="18"/>
        </w:rPr>
        <w:lastRenderedPageBreak/>
        <w:t xml:space="preserve">Figure Nine: Introspected Objects within the Physical Layer Example </w:t>
      </w:r>
    </w:p>
    <w:p w14:paraId="08BA5D18" w14:textId="4F1F8EE8" w:rsidR="0069499D" w:rsidRPr="0085138C" w:rsidRDefault="0069499D" w:rsidP="0069499D">
      <w:pPr>
        <w:pStyle w:val="CS-Bodytext"/>
        <w:rPr>
          <w:rFonts w:cs="Arial"/>
          <w:sz w:val="20"/>
        </w:rPr>
      </w:pPr>
      <w:r>
        <w:rPr>
          <w:rFonts w:cs="Arial"/>
          <w:sz w:val="20"/>
        </w:rPr>
        <w:t>Tibco</w:t>
      </w:r>
      <w:r w:rsidRPr="0085138C">
        <w:rPr>
          <w:rFonts w:cs="Arial"/>
          <w:sz w:val="20"/>
        </w:rPr>
        <w:t xml:space="preserve"> allows for re-introspection of these sources either manually or automatically.  This is important where sources change over time, thereby providing application insulation. With </w:t>
      </w:r>
      <w:r>
        <w:rPr>
          <w:rFonts w:cs="Arial"/>
          <w:sz w:val="20"/>
        </w:rPr>
        <w:t>Tibco</w:t>
      </w:r>
      <w:r w:rsidRPr="0085138C">
        <w:rPr>
          <w:rFonts w:cs="Arial"/>
          <w:sz w:val="20"/>
        </w:rPr>
        <w:t xml:space="preserve"> in place and a canonical model established for applications, source changes typically only impact next layer up, the formatting layer.</w:t>
      </w:r>
    </w:p>
    <w:p w14:paraId="70920ED3" w14:textId="77777777" w:rsidR="0069499D" w:rsidRPr="0085138C" w:rsidRDefault="0069499D" w:rsidP="0069499D">
      <w:pPr>
        <w:pStyle w:val="CS-Bodytext"/>
        <w:rPr>
          <w:rFonts w:cs="Arial"/>
          <w:sz w:val="20"/>
        </w:rPr>
      </w:pPr>
      <w:r w:rsidRPr="0085138C">
        <w:rPr>
          <w:rFonts w:cs="Arial"/>
          <w:sz w:val="20"/>
        </w:rPr>
        <w:t>The job of the “</w:t>
      </w:r>
      <w:r w:rsidRPr="0085138C">
        <w:rPr>
          <w:rFonts w:cs="Arial"/>
          <w:b/>
          <w:sz w:val="20"/>
        </w:rPr>
        <w:t>Formatting</w:t>
      </w:r>
      <w:r w:rsidRPr="0085138C">
        <w:rPr>
          <w:rFonts w:cs="Arial"/>
          <w:sz w:val="20"/>
        </w:rPr>
        <w:t>”</w:t>
      </w:r>
      <w:r>
        <w:rPr>
          <w:rFonts w:cs="Arial"/>
          <w:sz w:val="20"/>
        </w:rPr>
        <w:t xml:space="preserve"> sub-layer</w:t>
      </w:r>
      <w:r w:rsidRPr="0085138C">
        <w:rPr>
          <w:rFonts w:cs="Arial"/>
          <w:sz w:val="20"/>
        </w:rPr>
        <w:t xml:space="preserve"> is two-fold.  It standardizes the data elements into the terms or data dictionary established by an organization’s business logical views.  This is often referred to as “data canonicals.”  This layer also insulates applications and upper level views from lower level change for example when new columns are added to a data source.  For applications to take advantage of those changes, the columns must be percolated to the upper views and published externally.  However, this kind of change can be managed in the form of new versioned data services that provide a new signature of data while maintaining the integrity of existing applications.  These views are typically SQL-based which provides for easier maintainability and understanding by the data architects.  </w:t>
      </w:r>
    </w:p>
    <w:p w14:paraId="2E4F9BD4" w14:textId="77777777" w:rsidR="0069499D" w:rsidRPr="0085138C" w:rsidRDefault="0069499D" w:rsidP="0069499D">
      <w:pPr>
        <w:pStyle w:val="CS-Bodytext"/>
        <w:rPr>
          <w:rFonts w:cs="Arial"/>
          <w:sz w:val="20"/>
        </w:rPr>
      </w:pPr>
      <w:r w:rsidRPr="0085138C">
        <w:rPr>
          <w:rFonts w:cs="Arial"/>
          <w:sz w:val="20"/>
        </w:rPr>
        <w:t>The general guidelines for this layer are as follows:</w:t>
      </w:r>
    </w:p>
    <w:p w14:paraId="3F19F280"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One-to-one mapping </w:t>
      </w:r>
      <w:r w:rsidRPr="0085138C">
        <w:rPr>
          <w:rFonts w:cs="Arial"/>
          <w:bCs/>
          <w:sz w:val="20"/>
        </w:rPr>
        <w:t>–</w:t>
      </w:r>
      <w:r w:rsidRPr="0085138C">
        <w:rPr>
          <w:rFonts w:cs="Arial"/>
          <w:b/>
          <w:bCs/>
          <w:sz w:val="20"/>
        </w:rPr>
        <w:t xml:space="preserve"> </w:t>
      </w:r>
      <w:r w:rsidRPr="0085138C">
        <w:rPr>
          <w:rFonts w:cs="Arial"/>
          <w:sz w:val="20"/>
        </w:rPr>
        <w:t>These views provide a one-to-one correspondence between the physical and the formatting views.  Generally, the names and types of data elements the physical layer are mapped to their corresponding “logical/canonical” name and type.  An example of one-to-one mapping is shown below:</w:t>
      </w:r>
    </w:p>
    <w:p w14:paraId="6178F436" w14:textId="77777777" w:rsidR="0069499D" w:rsidRPr="0085138C" w:rsidRDefault="0069499D" w:rsidP="0069499D">
      <w:pPr>
        <w:spacing w:line="201" w:lineRule="atLeast"/>
        <w:ind w:left="1440"/>
        <w:rPr>
          <w:rFonts w:ascii="Arial" w:hAnsi="Arial" w:cs="Arial"/>
          <w:color w:val="666666"/>
          <w:sz w:val="14"/>
          <w:szCs w:val="16"/>
        </w:rPr>
      </w:pPr>
      <w:r w:rsidRPr="0085138C">
        <w:rPr>
          <w:rFonts w:ascii="Arial" w:hAnsi="Arial" w:cs="Arial"/>
          <w:color w:val="666666"/>
          <w:sz w:val="14"/>
          <w:szCs w:val="16"/>
        </w:rPr>
        <w:t>/project/Physical/</w:t>
      </w:r>
      <w:proofErr w:type="spellStart"/>
      <w:r w:rsidRPr="0085138C">
        <w:rPr>
          <w:rFonts w:ascii="Arial" w:hAnsi="Arial" w:cs="Arial"/>
          <w:color w:val="666666"/>
          <w:sz w:val="14"/>
          <w:szCs w:val="16"/>
        </w:rPr>
        <w:t>Physical_Metadata</w:t>
      </w:r>
      <w:proofErr w:type="spellEnd"/>
      <w:r w:rsidRPr="0085138C">
        <w:rPr>
          <w:rFonts w:ascii="Arial" w:hAnsi="Arial" w:cs="Arial"/>
          <w:color w:val="666666"/>
          <w:sz w:val="14"/>
          <w:szCs w:val="16"/>
        </w:rPr>
        <w:t xml:space="preserve">/ORDER_SYSTEM </w:t>
      </w:r>
      <w:r w:rsidRPr="0085138C">
        <w:rPr>
          <w:rFonts w:ascii="Arial" w:hAnsi="Arial" w:cs="Arial"/>
          <w:color w:val="666666"/>
          <w:sz w:val="14"/>
          <w:szCs w:val="16"/>
        </w:rPr>
        <w:sym w:font="Wingdings" w:char="F0E0"/>
      </w:r>
      <w:r w:rsidRPr="0085138C">
        <w:rPr>
          <w:rFonts w:ascii="Arial" w:hAnsi="Arial" w:cs="Arial"/>
          <w:color w:val="666666"/>
          <w:sz w:val="14"/>
          <w:szCs w:val="16"/>
        </w:rPr>
        <w:t xml:space="preserve"> /project/Physical/</w:t>
      </w:r>
      <w:proofErr w:type="spellStart"/>
      <w:r w:rsidRPr="0085138C">
        <w:rPr>
          <w:rFonts w:ascii="Arial" w:hAnsi="Arial" w:cs="Arial"/>
          <w:color w:val="666666"/>
          <w:sz w:val="14"/>
          <w:szCs w:val="16"/>
        </w:rPr>
        <w:t>Formatting_Views</w:t>
      </w:r>
      <w:proofErr w:type="spellEnd"/>
      <w:r w:rsidRPr="0085138C">
        <w:rPr>
          <w:rFonts w:ascii="Arial" w:hAnsi="Arial" w:cs="Arial"/>
          <w:color w:val="666666"/>
          <w:sz w:val="14"/>
          <w:szCs w:val="16"/>
        </w:rPr>
        <w:t>/Orders</w:t>
      </w:r>
    </w:p>
    <w:p w14:paraId="783DA20B"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OID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OrderId</w:t>
      </w:r>
      <w:proofErr w:type="spellEnd"/>
    </w:p>
    <w:p w14:paraId="6F7E6572"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CID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CustomerId</w:t>
      </w:r>
      <w:proofErr w:type="spellEnd"/>
    </w:p>
    <w:p w14:paraId="5F06C484"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ORDER_DT</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OrderDate</w:t>
      </w:r>
      <w:proofErr w:type="spellEnd"/>
    </w:p>
    <w:p w14:paraId="21ADF0C5"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PONUM</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PurchaseOrderNumber</w:t>
      </w:r>
      <w:proofErr w:type="spellEnd"/>
    </w:p>
    <w:p w14:paraId="28FA6FDD"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SHIP_ID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ShipToId</w:t>
      </w:r>
      <w:proofErr w:type="spellEnd"/>
    </w:p>
    <w:p w14:paraId="2AA230E7"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FR_CHRG</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(FR_CHRG as </w:t>
      </w:r>
      <w:proofErr w:type="gramStart"/>
      <w:r w:rsidRPr="0085138C">
        <w:rPr>
          <w:rFonts w:ascii="Arial" w:hAnsi="Arial" w:cs="Arial"/>
          <w:color w:val="666666"/>
          <w:sz w:val="12"/>
          <w:szCs w:val="14"/>
        </w:rPr>
        <w:t>numeric(</w:t>
      </w:r>
      <w:proofErr w:type="gramEnd"/>
      <w:r w:rsidRPr="0085138C">
        <w:rPr>
          <w:rFonts w:ascii="Arial" w:hAnsi="Arial" w:cs="Arial"/>
          <w:color w:val="666666"/>
          <w:sz w:val="12"/>
          <w:szCs w:val="14"/>
        </w:rPr>
        <w:t xml:space="preserve">12,2)) </w:t>
      </w:r>
      <w:proofErr w:type="spellStart"/>
      <w:r w:rsidRPr="0085138C">
        <w:rPr>
          <w:rFonts w:ascii="Arial" w:hAnsi="Arial" w:cs="Arial"/>
          <w:color w:val="666666"/>
          <w:sz w:val="12"/>
          <w:szCs w:val="14"/>
        </w:rPr>
        <w:t>FreightCharge</w:t>
      </w:r>
      <w:proofErr w:type="spellEnd"/>
    </w:p>
    <w:p w14:paraId="2B3AC990"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WEIGHT</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Weight</w:t>
      </w:r>
      <w:proofErr w:type="spellEnd"/>
    </w:p>
    <w:p w14:paraId="09536345"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(FR_CHRG/WEIGHT)</w:t>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w:t>
      </w:r>
      <w:proofErr w:type="spellStart"/>
      <w:r w:rsidRPr="0085138C">
        <w:rPr>
          <w:rFonts w:ascii="Arial" w:hAnsi="Arial" w:cs="Arial"/>
          <w:color w:val="666666"/>
          <w:sz w:val="12"/>
          <w:szCs w:val="14"/>
        </w:rPr>
        <w:t>CostPerWeight</w:t>
      </w:r>
      <w:proofErr w:type="spellEnd"/>
    </w:p>
    <w:p w14:paraId="5F140C41"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MTHD_ID</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case MTHD_ID </w:t>
      </w:r>
    </w:p>
    <w:p w14:paraId="1F2710AD" w14:textId="77777777" w:rsidR="0069499D" w:rsidRPr="0085138C" w:rsidRDefault="0069499D" w:rsidP="0069499D">
      <w:pPr>
        <w:spacing w:line="201" w:lineRule="atLeast"/>
        <w:ind w:left="4320"/>
        <w:rPr>
          <w:rFonts w:ascii="Arial" w:hAnsi="Arial" w:cs="Arial"/>
          <w:color w:val="666666"/>
          <w:sz w:val="12"/>
          <w:szCs w:val="14"/>
        </w:rPr>
      </w:pPr>
      <w:r w:rsidRPr="0085138C">
        <w:rPr>
          <w:rFonts w:ascii="Arial" w:hAnsi="Arial" w:cs="Arial"/>
          <w:color w:val="666666"/>
          <w:sz w:val="12"/>
          <w:szCs w:val="14"/>
        </w:rPr>
        <w:t>when 1 then ‘AIR’</w:t>
      </w:r>
    </w:p>
    <w:p w14:paraId="38B78860" w14:textId="77777777" w:rsidR="0069499D" w:rsidRPr="0085138C" w:rsidRDefault="0069499D" w:rsidP="0069499D">
      <w:pPr>
        <w:spacing w:line="201" w:lineRule="atLeast"/>
        <w:ind w:left="4320"/>
        <w:rPr>
          <w:rFonts w:ascii="Arial" w:hAnsi="Arial" w:cs="Arial"/>
          <w:color w:val="666666"/>
          <w:sz w:val="12"/>
          <w:szCs w:val="14"/>
        </w:rPr>
      </w:pPr>
      <w:r w:rsidRPr="0085138C">
        <w:rPr>
          <w:rFonts w:ascii="Arial" w:hAnsi="Arial" w:cs="Arial"/>
          <w:color w:val="666666"/>
          <w:sz w:val="12"/>
          <w:szCs w:val="14"/>
        </w:rPr>
        <w:t>when 2 then ‘GROUND’</w:t>
      </w:r>
    </w:p>
    <w:p w14:paraId="73F7A84F" w14:textId="77777777" w:rsidR="0069499D" w:rsidRPr="0085138C" w:rsidRDefault="0069499D" w:rsidP="0069499D">
      <w:pPr>
        <w:spacing w:line="201" w:lineRule="atLeast"/>
        <w:ind w:left="4320"/>
        <w:rPr>
          <w:rFonts w:ascii="Arial" w:hAnsi="Arial" w:cs="Arial"/>
          <w:color w:val="666666"/>
          <w:sz w:val="12"/>
          <w:szCs w:val="14"/>
        </w:rPr>
      </w:pPr>
      <w:r w:rsidRPr="0085138C">
        <w:rPr>
          <w:rFonts w:ascii="Arial" w:hAnsi="Arial" w:cs="Arial"/>
          <w:color w:val="666666"/>
          <w:sz w:val="12"/>
          <w:szCs w:val="14"/>
        </w:rPr>
        <w:t>else ‘OTHER’</w:t>
      </w:r>
    </w:p>
    <w:p w14:paraId="7F00CBF1" w14:textId="77777777" w:rsidR="0069499D" w:rsidRPr="0085138C" w:rsidRDefault="0069499D" w:rsidP="0069499D">
      <w:pPr>
        <w:spacing w:line="201" w:lineRule="atLeast"/>
        <w:ind w:left="3600"/>
        <w:rPr>
          <w:rFonts w:ascii="Arial" w:hAnsi="Arial" w:cs="Arial"/>
          <w:color w:val="666666"/>
          <w:sz w:val="12"/>
          <w:szCs w:val="14"/>
        </w:rPr>
      </w:pPr>
      <w:r w:rsidRPr="0085138C">
        <w:rPr>
          <w:rFonts w:ascii="Arial" w:hAnsi="Arial" w:cs="Arial"/>
          <w:color w:val="666666"/>
          <w:sz w:val="12"/>
          <w:szCs w:val="14"/>
        </w:rPr>
        <w:t xml:space="preserve">       end as </w:t>
      </w:r>
      <w:proofErr w:type="spellStart"/>
      <w:r w:rsidRPr="0085138C">
        <w:rPr>
          <w:rFonts w:ascii="Arial" w:hAnsi="Arial" w:cs="Arial"/>
          <w:color w:val="666666"/>
          <w:sz w:val="12"/>
          <w:szCs w:val="14"/>
        </w:rPr>
        <w:t>ShipToMethod</w:t>
      </w:r>
      <w:proofErr w:type="spellEnd"/>
    </w:p>
    <w:p w14:paraId="5C9CD675"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“ORDERS1”</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(‘ORDERS1’ as varchar) </w:t>
      </w:r>
      <w:proofErr w:type="spellStart"/>
      <w:r w:rsidRPr="0085138C">
        <w:rPr>
          <w:rFonts w:ascii="Arial" w:hAnsi="Arial" w:cs="Arial"/>
          <w:color w:val="666666"/>
          <w:sz w:val="12"/>
          <w:szCs w:val="14"/>
        </w:rPr>
        <w:t>DataSourceName</w:t>
      </w:r>
      <w:proofErr w:type="spellEnd"/>
    </w:p>
    <w:p w14:paraId="07DC34BA"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CURRENT_TIMESTAMP</w:t>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(CURRENT_TIMESTAMP as timestamp) </w:t>
      </w:r>
      <w:proofErr w:type="spellStart"/>
      <w:r w:rsidRPr="0085138C">
        <w:rPr>
          <w:rFonts w:ascii="Arial" w:hAnsi="Arial" w:cs="Arial"/>
          <w:color w:val="666666"/>
          <w:sz w:val="12"/>
          <w:szCs w:val="14"/>
        </w:rPr>
        <w:t>StartTime</w:t>
      </w:r>
      <w:proofErr w:type="spellEnd"/>
    </w:p>
    <w:p w14:paraId="25DF7E77" w14:textId="77777777" w:rsidR="0069499D" w:rsidRPr="0085138C" w:rsidRDefault="0069499D" w:rsidP="0069499D">
      <w:pPr>
        <w:spacing w:line="201" w:lineRule="atLeast"/>
        <w:ind w:left="2160"/>
        <w:rPr>
          <w:rFonts w:ascii="Arial" w:hAnsi="Arial" w:cs="Arial"/>
          <w:color w:val="666666"/>
          <w:sz w:val="12"/>
          <w:szCs w:val="14"/>
        </w:rPr>
      </w:pPr>
      <w:r w:rsidRPr="0085138C">
        <w:rPr>
          <w:rFonts w:ascii="Arial" w:hAnsi="Arial" w:cs="Arial"/>
          <w:color w:val="666666"/>
          <w:sz w:val="12"/>
          <w:szCs w:val="14"/>
        </w:rPr>
        <w:t>NULL</w:t>
      </w:r>
      <w:r w:rsidRPr="0085138C">
        <w:rPr>
          <w:rFonts w:ascii="Arial" w:hAnsi="Arial" w:cs="Arial"/>
          <w:color w:val="666666"/>
          <w:sz w:val="12"/>
          <w:szCs w:val="14"/>
        </w:rPr>
        <w:tab/>
      </w:r>
      <w:r w:rsidRPr="0085138C">
        <w:rPr>
          <w:rFonts w:ascii="Arial" w:hAnsi="Arial" w:cs="Arial"/>
          <w:color w:val="666666"/>
          <w:sz w:val="12"/>
          <w:szCs w:val="14"/>
        </w:rPr>
        <w:tab/>
        <w:t xml:space="preserve">  </w:t>
      </w:r>
      <w:r w:rsidRPr="0085138C">
        <w:rPr>
          <w:rFonts w:ascii="Arial" w:hAnsi="Arial" w:cs="Arial"/>
          <w:color w:val="666666"/>
          <w:sz w:val="12"/>
          <w:szCs w:val="14"/>
        </w:rPr>
        <w:sym w:font="Wingdings" w:char="F0E0"/>
      </w:r>
      <w:r w:rsidRPr="0085138C">
        <w:rPr>
          <w:rFonts w:ascii="Arial" w:hAnsi="Arial" w:cs="Arial"/>
          <w:color w:val="666666"/>
          <w:sz w:val="12"/>
          <w:szCs w:val="14"/>
        </w:rPr>
        <w:t xml:space="preserve"> cast (NULL as varchar) </w:t>
      </w:r>
      <w:proofErr w:type="spellStart"/>
      <w:r w:rsidRPr="0085138C">
        <w:rPr>
          <w:rFonts w:ascii="Arial" w:hAnsi="Arial" w:cs="Arial"/>
          <w:color w:val="666666"/>
          <w:sz w:val="12"/>
          <w:szCs w:val="14"/>
        </w:rPr>
        <w:t>EndTime</w:t>
      </w:r>
      <w:proofErr w:type="spellEnd"/>
    </w:p>
    <w:p w14:paraId="0A036C3B" w14:textId="77777777" w:rsidR="0069499D" w:rsidRPr="0085138C" w:rsidRDefault="0069499D" w:rsidP="0069499D">
      <w:pPr>
        <w:spacing w:line="201" w:lineRule="atLeast"/>
        <w:ind w:left="2160"/>
        <w:rPr>
          <w:rFonts w:ascii="Arial" w:hAnsi="Arial" w:cs="Arial"/>
          <w:color w:val="666666"/>
          <w:sz w:val="12"/>
          <w:szCs w:val="14"/>
        </w:rPr>
      </w:pPr>
    </w:p>
    <w:p w14:paraId="405BD479"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Simple mappings </w:t>
      </w:r>
      <w:r w:rsidRPr="0085138C">
        <w:rPr>
          <w:rFonts w:cs="Arial"/>
          <w:bCs/>
          <w:sz w:val="20"/>
        </w:rPr>
        <w:t>–</w:t>
      </w:r>
      <w:r w:rsidRPr="0085138C">
        <w:rPr>
          <w:rFonts w:cs="Arial"/>
          <w:sz w:val="20"/>
        </w:rPr>
        <w:t xml:space="preserve"> Actions that may be performed in this layer should be kept simple and should refrain from performing joins.  The following is a list of actions that may be accomplished at this layer:</w:t>
      </w:r>
    </w:p>
    <w:p w14:paraId="1DF2F2E9" w14:textId="77777777" w:rsidR="0069499D" w:rsidRPr="0085138C" w:rsidRDefault="0069499D" w:rsidP="0069499D">
      <w:pPr>
        <w:pStyle w:val="CS-Bodytext"/>
        <w:numPr>
          <w:ilvl w:val="1"/>
          <w:numId w:val="42"/>
        </w:numPr>
        <w:rPr>
          <w:rFonts w:cs="Arial"/>
          <w:sz w:val="20"/>
        </w:rPr>
      </w:pPr>
      <w:r w:rsidRPr="0085138C">
        <w:rPr>
          <w:rFonts w:cs="Arial"/>
          <w:b/>
          <w:bCs/>
          <w:sz w:val="20"/>
        </w:rPr>
        <w:t>Name aliasing</w:t>
      </w:r>
      <w:r w:rsidRPr="0085138C">
        <w:rPr>
          <w:rFonts w:cs="Arial"/>
          <w:bCs/>
          <w:sz w:val="20"/>
        </w:rPr>
        <w:t xml:space="preserve"> –</w:t>
      </w:r>
      <w:r w:rsidRPr="0085138C">
        <w:rPr>
          <w:rFonts w:cs="Arial"/>
          <w:sz w:val="20"/>
        </w:rPr>
        <w:t xml:space="preserve"> Mapping the physical name to its logical/canonical counterpart.  E.g. OID is mapped to the alias </w:t>
      </w:r>
      <w:proofErr w:type="spellStart"/>
      <w:r w:rsidRPr="0085138C">
        <w:rPr>
          <w:rFonts w:cs="Arial"/>
          <w:sz w:val="20"/>
        </w:rPr>
        <w:t>OrderId</w:t>
      </w:r>
      <w:proofErr w:type="spellEnd"/>
      <w:r w:rsidRPr="0085138C">
        <w:rPr>
          <w:rFonts w:cs="Arial"/>
          <w:sz w:val="20"/>
        </w:rPr>
        <w:t>.</w:t>
      </w:r>
    </w:p>
    <w:p w14:paraId="0C5D9D07"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Data type casting </w:t>
      </w:r>
      <w:r w:rsidRPr="0085138C">
        <w:rPr>
          <w:rFonts w:cs="Arial"/>
          <w:bCs/>
          <w:sz w:val="20"/>
        </w:rPr>
        <w:t>–</w:t>
      </w:r>
      <w:r w:rsidRPr="0085138C">
        <w:rPr>
          <w:rFonts w:cs="Arial"/>
          <w:sz w:val="20"/>
        </w:rPr>
        <w:t xml:space="preserve"> Data type casting is a form of transformation whereby the type of the physical column is cat to a different type as in “cast (FR_CHRG as </w:t>
      </w:r>
      <w:proofErr w:type="gramStart"/>
      <w:r w:rsidRPr="0085138C">
        <w:rPr>
          <w:rFonts w:cs="Arial"/>
          <w:sz w:val="20"/>
        </w:rPr>
        <w:t>numeric(</w:t>
      </w:r>
      <w:proofErr w:type="gramEnd"/>
      <w:r w:rsidRPr="0085138C">
        <w:rPr>
          <w:rFonts w:cs="Arial"/>
          <w:sz w:val="20"/>
        </w:rPr>
        <w:t xml:space="preserve">12,2)) </w:t>
      </w:r>
      <w:proofErr w:type="spellStart"/>
      <w:r w:rsidRPr="0085138C">
        <w:rPr>
          <w:rFonts w:cs="Arial"/>
          <w:sz w:val="20"/>
        </w:rPr>
        <w:t>FreightCharge</w:t>
      </w:r>
      <w:proofErr w:type="spellEnd"/>
      <w:r w:rsidRPr="0085138C">
        <w:rPr>
          <w:rFonts w:cs="Arial"/>
          <w:sz w:val="20"/>
        </w:rPr>
        <w:t>”.</w:t>
      </w:r>
    </w:p>
    <w:p w14:paraId="7E5DDAD9"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Simple derived columns </w:t>
      </w:r>
      <w:r w:rsidRPr="0085138C">
        <w:rPr>
          <w:rFonts w:cs="Arial"/>
          <w:bCs/>
          <w:sz w:val="20"/>
        </w:rPr>
        <w:t>–</w:t>
      </w:r>
      <w:r w:rsidRPr="0085138C">
        <w:rPr>
          <w:rFonts w:cs="Arial"/>
          <w:sz w:val="20"/>
        </w:rPr>
        <w:t xml:space="preserve"> Derived columns are typically columns that can be calculated from existing columns.  In the example provided above, the </w:t>
      </w:r>
      <w:proofErr w:type="spellStart"/>
      <w:r w:rsidRPr="0085138C">
        <w:rPr>
          <w:rFonts w:cs="Arial"/>
          <w:sz w:val="20"/>
        </w:rPr>
        <w:t>CostPerWeight</w:t>
      </w:r>
      <w:proofErr w:type="spellEnd"/>
      <w:r w:rsidRPr="0085138C">
        <w:rPr>
          <w:rFonts w:cs="Arial"/>
          <w:sz w:val="20"/>
        </w:rPr>
        <w:t xml:space="preserve"> is calculated </w:t>
      </w:r>
      <w:r w:rsidRPr="0085138C">
        <w:rPr>
          <w:rFonts w:cs="Arial"/>
          <w:sz w:val="20"/>
        </w:rPr>
        <w:lastRenderedPageBreak/>
        <w:t>from the Freight Charge and the container Weight.  Another example would be the concatenation of two or more fields to create a derived column.</w:t>
      </w:r>
    </w:p>
    <w:p w14:paraId="71A1B7B5"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Value formatting </w:t>
      </w:r>
      <w:r w:rsidRPr="0085138C">
        <w:rPr>
          <w:rFonts w:cs="Arial"/>
          <w:bCs/>
          <w:sz w:val="20"/>
        </w:rPr>
        <w:t>–</w:t>
      </w:r>
      <w:r w:rsidRPr="0085138C">
        <w:rPr>
          <w:rFonts w:cs="Arial"/>
          <w:sz w:val="20"/>
        </w:rPr>
        <w:t xml:space="preserve"> Value formatting provides conditional logic to return a different value in place of the original value.  An example would be to asses an ID field and return a description.  Refer to the “case” statement in the above example.</w:t>
      </w:r>
    </w:p>
    <w:p w14:paraId="641184C7"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New columns </w:t>
      </w:r>
      <w:r w:rsidRPr="0085138C">
        <w:rPr>
          <w:rFonts w:cs="Arial"/>
          <w:bCs/>
          <w:sz w:val="20"/>
        </w:rPr>
        <w:t>–</w:t>
      </w:r>
      <w:r w:rsidRPr="0085138C">
        <w:rPr>
          <w:rFonts w:cs="Arial"/>
          <w:sz w:val="20"/>
        </w:rPr>
        <w:t xml:space="preserve"> An example of a new column introduced at this level is one where the data does not exist in the source.  The data is provided at the time of this view creation through a “static” definition or a “system function”.  </w:t>
      </w:r>
    </w:p>
    <w:p w14:paraId="0F1FA109" w14:textId="77777777" w:rsidR="0069499D" w:rsidRPr="0085138C" w:rsidRDefault="0069499D" w:rsidP="0069499D">
      <w:pPr>
        <w:pStyle w:val="CS-Bodytext"/>
        <w:numPr>
          <w:ilvl w:val="2"/>
          <w:numId w:val="42"/>
        </w:numPr>
        <w:rPr>
          <w:rFonts w:cs="Arial"/>
          <w:sz w:val="20"/>
        </w:rPr>
      </w:pPr>
      <w:r w:rsidRPr="0085138C">
        <w:rPr>
          <w:rFonts w:cs="Arial"/>
          <w:sz w:val="20"/>
        </w:rPr>
        <w:t xml:space="preserve">An example of a static definition is to provide the data source name.  For example, if you are mapping more than one Order Entry System, it might be advantageous to the Application Developers to know where a particular Order row is coming from (its data lineage).  </w:t>
      </w:r>
    </w:p>
    <w:p w14:paraId="4B718879" w14:textId="77777777" w:rsidR="0069499D" w:rsidRPr="0085138C" w:rsidRDefault="0069499D" w:rsidP="0069499D">
      <w:pPr>
        <w:pStyle w:val="CS-Bodytext"/>
        <w:numPr>
          <w:ilvl w:val="2"/>
          <w:numId w:val="42"/>
        </w:numPr>
        <w:rPr>
          <w:rFonts w:cs="Arial"/>
          <w:sz w:val="20"/>
        </w:rPr>
      </w:pPr>
      <w:r w:rsidRPr="0085138C">
        <w:rPr>
          <w:rFonts w:cs="Arial"/>
          <w:sz w:val="20"/>
        </w:rPr>
        <w:t>Another example is the use of a system function such as CURRENT_TIMESTAMP.  A custom function could also be invoked to populate the new column with data.</w:t>
      </w:r>
    </w:p>
    <w:p w14:paraId="5D8D5841"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Null mapping </w:t>
      </w:r>
      <w:r w:rsidRPr="0085138C">
        <w:rPr>
          <w:rFonts w:cs="Arial"/>
          <w:bCs/>
          <w:sz w:val="20"/>
        </w:rPr>
        <w:t>–</w:t>
      </w:r>
      <w:r w:rsidRPr="0085138C">
        <w:rPr>
          <w:rFonts w:cs="Arial"/>
          <w:sz w:val="20"/>
        </w:rPr>
        <w:t xml:space="preserve"> It may be necessary to establish the alias column in this layer, yet it has no corresponding physical data element to map to.  In this case, it is permissible to map the alias to a NULL value.</w:t>
      </w:r>
    </w:p>
    <w:p w14:paraId="127FAEB3" w14:textId="77777777" w:rsidR="0069499D" w:rsidRPr="0085138C" w:rsidRDefault="0069499D" w:rsidP="0069499D">
      <w:pPr>
        <w:pStyle w:val="CS-Bodytext"/>
        <w:numPr>
          <w:ilvl w:val="1"/>
          <w:numId w:val="42"/>
        </w:numPr>
        <w:rPr>
          <w:rFonts w:cs="Arial"/>
          <w:sz w:val="20"/>
        </w:rPr>
      </w:pPr>
      <w:r w:rsidRPr="0085138C">
        <w:rPr>
          <w:rFonts w:cs="Arial"/>
          <w:b/>
          <w:bCs/>
          <w:sz w:val="20"/>
        </w:rPr>
        <w:t xml:space="preserve">Light Data Quality </w:t>
      </w:r>
      <w:r w:rsidRPr="0085138C">
        <w:rPr>
          <w:rFonts w:cs="Arial"/>
          <w:bCs/>
          <w:sz w:val="20"/>
        </w:rPr>
        <w:t>–</w:t>
      </w:r>
      <w:r w:rsidRPr="0085138C">
        <w:rPr>
          <w:rFonts w:cs="Arial"/>
          <w:sz w:val="20"/>
        </w:rPr>
        <w:t xml:space="preserve"> Cleaning up known bad data using SQL functions, validation tables, etc. </w:t>
      </w:r>
    </w:p>
    <w:p w14:paraId="475DD0E2" w14:textId="77777777" w:rsidR="0069499D" w:rsidRPr="0085138C" w:rsidRDefault="0069499D" w:rsidP="0069499D">
      <w:pPr>
        <w:pStyle w:val="CS-Bodytext"/>
        <w:ind w:left="720"/>
        <w:rPr>
          <w:rFonts w:cs="Arial"/>
          <w:sz w:val="20"/>
        </w:rPr>
      </w:pPr>
      <w:r w:rsidRPr="0085138C">
        <w:rPr>
          <w:rFonts w:cs="Arial"/>
          <w:bCs/>
          <w:sz w:val="20"/>
        </w:rPr>
        <w:t>An example of the above concepts is shown in the figure below:</w:t>
      </w:r>
    </w:p>
    <w:p w14:paraId="75234F5B" w14:textId="270F0AD8" w:rsidR="0069499D" w:rsidRPr="0085138C" w:rsidRDefault="0069499D" w:rsidP="0069499D">
      <w:pPr>
        <w:pStyle w:val="CS-Bodytext"/>
        <w:ind w:left="1080"/>
        <w:rPr>
          <w:rFonts w:cs="Arial"/>
        </w:rPr>
      </w:pPr>
      <w:r w:rsidRPr="0085138C">
        <w:rPr>
          <w:rFonts w:cs="Arial"/>
          <w:noProof/>
        </w:rPr>
        <w:drawing>
          <wp:inline distT="0" distB="0" distL="0" distR="0" wp14:anchorId="4822EB95" wp14:editId="786110CF">
            <wp:extent cx="3999653" cy="3119547"/>
            <wp:effectExtent l="0" t="0" r="0" b="5080"/>
            <wp:docPr id="85" name="Picture 85" descr="Formatting-Studio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atting-StudioGr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6145" cy="3140210"/>
                    </a:xfrm>
                    <a:prstGeom prst="rect">
                      <a:avLst/>
                    </a:prstGeom>
                    <a:noFill/>
                    <a:ln>
                      <a:noFill/>
                    </a:ln>
                  </pic:spPr>
                </pic:pic>
              </a:graphicData>
            </a:graphic>
          </wp:inline>
        </w:drawing>
      </w:r>
    </w:p>
    <w:p w14:paraId="66A84D6B" w14:textId="77777777" w:rsidR="0069499D" w:rsidRPr="0085138C" w:rsidRDefault="0069499D" w:rsidP="0069499D">
      <w:pPr>
        <w:pStyle w:val="CS-Bodytext"/>
        <w:ind w:left="2880"/>
        <w:rPr>
          <w:rFonts w:cs="Arial"/>
          <w:i/>
          <w:iCs/>
          <w:sz w:val="18"/>
          <w:szCs w:val="18"/>
        </w:rPr>
      </w:pPr>
      <w:r w:rsidRPr="0085138C">
        <w:rPr>
          <w:rFonts w:cs="Arial"/>
          <w:i/>
          <w:sz w:val="18"/>
          <w:szCs w:val="18"/>
        </w:rPr>
        <w:t xml:space="preserve">Figure Ten: Column Mapping Example </w:t>
      </w:r>
    </w:p>
    <w:p w14:paraId="61AEE958" w14:textId="77777777" w:rsidR="0069499D" w:rsidRPr="0085138C" w:rsidRDefault="0069499D" w:rsidP="0069499D">
      <w:pPr>
        <w:pStyle w:val="CS-Bodytext"/>
        <w:ind w:left="720"/>
        <w:rPr>
          <w:rFonts w:cs="Arial"/>
        </w:rPr>
      </w:pPr>
      <w:bookmarkStart w:id="29" w:name="_Toc351115309"/>
      <w:r w:rsidRPr="0085138C">
        <w:rPr>
          <w:rFonts w:cs="Arial"/>
          <w:b/>
          <w:bCs/>
          <w:sz w:val="20"/>
        </w:rPr>
        <w:lastRenderedPageBreak/>
        <w:t xml:space="preserve">Caching </w:t>
      </w:r>
      <w:r w:rsidRPr="0085138C">
        <w:rPr>
          <w:rFonts w:cs="Arial"/>
          <w:bCs/>
          <w:sz w:val="20"/>
        </w:rPr>
        <w:t>–</w:t>
      </w:r>
      <w:r w:rsidRPr="0085138C">
        <w:rPr>
          <w:rFonts w:cs="Arial"/>
          <w:sz w:val="20"/>
        </w:rPr>
        <w:t xml:space="preserve"> </w:t>
      </w:r>
      <w:r w:rsidRPr="0085138C">
        <w:rPr>
          <w:rFonts w:cs="Arial"/>
          <w:color w:val="000000"/>
          <w:lang w:bidi="he-IL"/>
        </w:rPr>
        <w:t>The formatting layer makes the most sense to perform initial caching of a source if necessary because the logical names, type casting and any transformation have already been applied thus reducing the downstream processing requirements.  Caching of data sources can be done for various reasons:</w:t>
      </w:r>
    </w:p>
    <w:p w14:paraId="0E3ACF41" w14:textId="77777777" w:rsidR="0069499D" w:rsidRPr="0085138C" w:rsidRDefault="0069499D" w:rsidP="0069499D">
      <w:pPr>
        <w:numPr>
          <w:ilvl w:val="1"/>
          <w:numId w:val="43"/>
        </w:numPr>
        <w:spacing w:after="200" w:line="276" w:lineRule="auto"/>
        <w:rPr>
          <w:rFonts w:ascii="Arial" w:hAnsi="Arial" w:cs="Arial"/>
        </w:rPr>
      </w:pPr>
      <w:r w:rsidRPr="0085138C">
        <w:rPr>
          <w:rFonts w:ascii="Arial" w:hAnsi="Arial" w:cs="Arial"/>
        </w:rPr>
        <w:t>Protect against maintenance windows and downtime of underlying source</w:t>
      </w:r>
    </w:p>
    <w:p w14:paraId="012DB4E1" w14:textId="77777777" w:rsidR="0069499D" w:rsidRPr="0085138C" w:rsidRDefault="0069499D" w:rsidP="0069499D">
      <w:pPr>
        <w:numPr>
          <w:ilvl w:val="1"/>
          <w:numId w:val="43"/>
        </w:numPr>
        <w:spacing w:after="200" w:line="276" w:lineRule="auto"/>
        <w:rPr>
          <w:rFonts w:ascii="Arial" w:hAnsi="Arial" w:cs="Arial"/>
        </w:rPr>
      </w:pPr>
      <w:r w:rsidRPr="0085138C">
        <w:rPr>
          <w:rFonts w:ascii="Arial" w:hAnsi="Arial" w:cs="Arial"/>
        </w:rPr>
        <w:t>Protect underlying data sources from excessive utilization</w:t>
      </w:r>
    </w:p>
    <w:p w14:paraId="5180BB0F" w14:textId="77777777" w:rsidR="0069499D" w:rsidRPr="0085138C" w:rsidRDefault="0069499D" w:rsidP="0069499D">
      <w:pPr>
        <w:numPr>
          <w:ilvl w:val="1"/>
          <w:numId w:val="43"/>
        </w:numPr>
        <w:spacing w:after="200" w:line="276" w:lineRule="auto"/>
        <w:rPr>
          <w:rFonts w:ascii="Arial" w:hAnsi="Arial" w:cs="Arial"/>
        </w:rPr>
      </w:pPr>
      <w:r w:rsidRPr="0085138C">
        <w:rPr>
          <w:rFonts w:ascii="Arial" w:hAnsi="Arial" w:cs="Arial"/>
        </w:rPr>
        <w:t>Location transparency – guard against slow network bandwidth by caching data local to the processing</w:t>
      </w:r>
    </w:p>
    <w:p w14:paraId="52950571"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Rebinding </w:t>
      </w:r>
      <w:r w:rsidRPr="0085138C">
        <w:rPr>
          <w:rFonts w:cs="Arial"/>
          <w:bCs/>
          <w:sz w:val="20"/>
        </w:rPr>
        <w:t>–</w:t>
      </w:r>
      <w:r w:rsidRPr="0085138C">
        <w:rPr>
          <w:rFonts w:cs="Arial"/>
          <w:sz w:val="20"/>
        </w:rPr>
        <w:t xml:space="preserve"> </w:t>
      </w:r>
      <w:r w:rsidRPr="0085138C">
        <w:rPr>
          <w:rFonts w:cs="Arial"/>
          <w:color w:val="000000"/>
          <w:lang w:bidi="he-IL"/>
        </w:rPr>
        <w:t>When promoting resources from development to test/QA/Staging and production, it may be necessary to rebind the formatting views to a different physical metadata source.  This may be as a result of a schema or path change in the data source.</w:t>
      </w:r>
    </w:p>
    <w:p w14:paraId="39FEA0EF" w14:textId="77777777" w:rsidR="0069499D" w:rsidRPr="007B0D0A" w:rsidRDefault="0069499D" w:rsidP="0069499D">
      <w:pPr>
        <w:pStyle w:val="Heading2"/>
        <w:rPr>
          <w:i/>
          <w:color w:val="1F497D"/>
          <w:sz w:val="23"/>
          <w:szCs w:val="23"/>
        </w:rPr>
      </w:pPr>
      <w:bookmarkStart w:id="30" w:name="_Toc353190110"/>
      <w:bookmarkStart w:id="31" w:name="_Toc365184168"/>
      <w:bookmarkStart w:id="32" w:name="_Toc419896940"/>
      <w:bookmarkStart w:id="33" w:name="_Toc48818883"/>
      <w:r w:rsidRPr="007B0D0A">
        <w:rPr>
          <w:i/>
          <w:color w:val="1F497D"/>
          <w:sz w:val="23"/>
          <w:szCs w:val="23"/>
        </w:rPr>
        <w:t>Business Layer</w:t>
      </w:r>
      <w:bookmarkEnd w:id="29"/>
      <w:bookmarkEnd w:id="30"/>
      <w:bookmarkEnd w:id="31"/>
      <w:bookmarkEnd w:id="32"/>
      <w:bookmarkEnd w:id="33"/>
    </w:p>
    <w:p w14:paraId="7870C557" w14:textId="77777777" w:rsidR="0069499D" w:rsidRPr="0085138C" w:rsidRDefault="0069499D" w:rsidP="0069499D">
      <w:pPr>
        <w:pStyle w:val="CS-Bodytext"/>
        <w:rPr>
          <w:rFonts w:cs="Arial"/>
          <w:sz w:val="20"/>
        </w:rPr>
      </w:pPr>
      <w:r w:rsidRPr="0085138C">
        <w:rPr>
          <w:rFonts w:cs="Arial"/>
          <w:sz w:val="20"/>
        </w:rPr>
        <w:t xml:space="preserve">Business layer views and services are grouped into subject areas defined by the organization’s enterprise information model.  The business layer is a logical, canonical representation of the key business entities and supports federation of data across multiple data sources.  Often </w:t>
      </w:r>
      <w:r w:rsidRPr="0085138C">
        <w:rPr>
          <w:rFonts w:cs="Arial"/>
          <w:bCs/>
          <w:sz w:val="20"/>
        </w:rPr>
        <w:t xml:space="preserve">data modeling tools such as ER/Win and ER Studio are used to create a logical data design.  These models can be used as the basis for the views and data dictionary at this level.  Naming of objects should reflect the logical entity and attribute names determined by data modelers.  Because this layer serves to federate multiple, like views together to form a single unified result set, naming used in the underlying formatting layer should be consistent. </w:t>
      </w:r>
    </w:p>
    <w:p w14:paraId="194F969D" w14:textId="5AC0619B" w:rsidR="0069499D" w:rsidRPr="0085138C" w:rsidRDefault="0069499D" w:rsidP="0069499D">
      <w:pPr>
        <w:pStyle w:val="CS-Bodytext"/>
        <w:rPr>
          <w:rFonts w:cs="Arial"/>
        </w:rPr>
      </w:pPr>
      <w:r w:rsidRPr="0085138C">
        <w:rPr>
          <w:rFonts w:cs="Arial"/>
          <w:noProof/>
        </w:rPr>
        <w:drawing>
          <wp:inline distT="0" distB="0" distL="0" distR="0" wp14:anchorId="7EB48313" wp14:editId="221A01B6">
            <wp:extent cx="5935345" cy="1134745"/>
            <wp:effectExtent l="0" t="0" r="8255" b="8255"/>
            <wp:docPr id="84" name="Picture 84" descr="BusinessLayer_full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usinessLayer_full_v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1134745"/>
                    </a:xfrm>
                    <a:prstGeom prst="rect">
                      <a:avLst/>
                    </a:prstGeom>
                    <a:noFill/>
                    <a:ln>
                      <a:noFill/>
                    </a:ln>
                  </pic:spPr>
                </pic:pic>
              </a:graphicData>
            </a:graphic>
          </wp:inline>
        </w:drawing>
      </w:r>
    </w:p>
    <w:p w14:paraId="1D51D031" w14:textId="77777777" w:rsidR="0069499D" w:rsidRPr="0085138C" w:rsidRDefault="0069499D" w:rsidP="0069499D">
      <w:pPr>
        <w:pStyle w:val="CS-Bodytext"/>
        <w:ind w:left="2880"/>
        <w:rPr>
          <w:rFonts w:cs="Arial"/>
          <w:i/>
          <w:iCs/>
          <w:sz w:val="18"/>
          <w:szCs w:val="18"/>
        </w:rPr>
      </w:pPr>
      <w:r w:rsidRPr="0085138C">
        <w:rPr>
          <w:rFonts w:cs="Arial"/>
          <w:i/>
          <w:iCs/>
          <w:sz w:val="18"/>
          <w:szCs w:val="18"/>
        </w:rPr>
        <w:t xml:space="preserve">Figure Eleven: Business Layer </w:t>
      </w:r>
    </w:p>
    <w:p w14:paraId="66ACA265" w14:textId="6D9336B8" w:rsidR="0069499D" w:rsidRPr="0085138C" w:rsidRDefault="0069499D" w:rsidP="0069499D">
      <w:pPr>
        <w:pStyle w:val="CS-Bodytext"/>
        <w:rPr>
          <w:rFonts w:cs="Arial"/>
          <w:sz w:val="20"/>
        </w:rPr>
      </w:pPr>
      <w:r w:rsidRPr="0085138C">
        <w:rPr>
          <w:rFonts w:cs="Arial"/>
          <w:sz w:val="20"/>
        </w:rPr>
        <w:t xml:space="preserve">It is vital that this layer only access other logical views or formatting views and ‘never’ access the physical views.  Logical views may be </w:t>
      </w:r>
      <w:r>
        <w:rPr>
          <w:rFonts w:cs="Arial"/>
          <w:sz w:val="20"/>
        </w:rPr>
        <w:t>Tibco</w:t>
      </w:r>
      <w:r w:rsidRPr="0085138C">
        <w:rPr>
          <w:rFonts w:cs="Arial"/>
          <w:sz w:val="20"/>
        </w:rPr>
        <w:t xml:space="preserve"> views, parameterized queries, or perhaps SQL procedures.   The business layer in general may be a combination of views and SQL procedures.  Views do not have logic other than joins, filters or parameters.  SQL procedures provide logic and are much like stored procedures in databases.  SQL procedures can access logical views or abstract views.</w:t>
      </w:r>
    </w:p>
    <w:p w14:paraId="07DED82F" w14:textId="36290C08" w:rsidR="0069499D" w:rsidRPr="0085138C" w:rsidRDefault="0069499D" w:rsidP="0069499D">
      <w:pPr>
        <w:pStyle w:val="CS-Bodytext"/>
        <w:ind w:left="1440"/>
        <w:rPr>
          <w:rFonts w:cs="Arial"/>
        </w:rPr>
      </w:pPr>
      <w:r w:rsidRPr="0085138C">
        <w:rPr>
          <w:rFonts w:cs="Arial"/>
          <w:noProof/>
        </w:rPr>
        <w:lastRenderedPageBreak/>
        <w:drawing>
          <wp:inline distT="0" distB="0" distL="0" distR="0" wp14:anchorId="6E1568D6" wp14:editId="5A60299B">
            <wp:extent cx="4504055" cy="34118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4055" cy="3411855"/>
                    </a:xfrm>
                    <a:prstGeom prst="rect">
                      <a:avLst/>
                    </a:prstGeom>
                    <a:noFill/>
                    <a:ln>
                      <a:noFill/>
                    </a:ln>
                  </pic:spPr>
                </pic:pic>
              </a:graphicData>
            </a:graphic>
          </wp:inline>
        </w:drawing>
      </w:r>
    </w:p>
    <w:p w14:paraId="0B182E3D" w14:textId="77777777" w:rsidR="0069499D" w:rsidRPr="0085138C" w:rsidRDefault="0069499D" w:rsidP="0069499D">
      <w:pPr>
        <w:pStyle w:val="CS-Bodytext"/>
        <w:ind w:left="2880"/>
        <w:rPr>
          <w:rFonts w:cs="Arial"/>
          <w:i/>
          <w:iCs/>
          <w:sz w:val="18"/>
          <w:szCs w:val="18"/>
        </w:rPr>
      </w:pPr>
      <w:r w:rsidRPr="0085138C">
        <w:rPr>
          <w:rFonts w:cs="Arial"/>
          <w:i/>
          <w:iCs/>
          <w:sz w:val="18"/>
          <w:szCs w:val="18"/>
        </w:rPr>
        <w:t>Figure Twelve: Federated Business View Example</w:t>
      </w:r>
    </w:p>
    <w:p w14:paraId="39B27F40" w14:textId="77777777" w:rsidR="0069499D" w:rsidRPr="007B0D0A" w:rsidRDefault="0069499D" w:rsidP="0069499D">
      <w:pPr>
        <w:pStyle w:val="Heading2"/>
        <w:rPr>
          <w:i/>
          <w:color w:val="1F497D"/>
          <w:sz w:val="23"/>
          <w:szCs w:val="23"/>
        </w:rPr>
      </w:pPr>
      <w:bookmarkStart w:id="34" w:name="_Toc351115310"/>
      <w:bookmarkStart w:id="35" w:name="_Toc353190111"/>
      <w:bookmarkStart w:id="36" w:name="_Toc365184169"/>
      <w:bookmarkStart w:id="37" w:name="_Toc419896941"/>
      <w:bookmarkStart w:id="38" w:name="_Toc48818884"/>
      <w:r w:rsidRPr="007B0D0A">
        <w:rPr>
          <w:i/>
          <w:color w:val="1F497D"/>
          <w:sz w:val="23"/>
          <w:szCs w:val="23"/>
        </w:rPr>
        <w:t>Application Layer</w:t>
      </w:r>
      <w:bookmarkEnd w:id="34"/>
      <w:bookmarkEnd w:id="35"/>
      <w:bookmarkEnd w:id="36"/>
      <w:bookmarkEnd w:id="37"/>
      <w:bookmarkEnd w:id="38"/>
    </w:p>
    <w:p w14:paraId="0FC890B8" w14:textId="1A369167" w:rsidR="0069499D" w:rsidRPr="0085138C" w:rsidRDefault="0069499D" w:rsidP="0069499D">
      <w:pPr>
        <w:pStyle w:val="CS-Bodytext"/>
        <w:rPr>
          <w:rFonts w:cs="Arial"/>
          <w:sz w:val="20"/>
        </w:rPr>
      </w:pPr>
      <w:r w:rsidRPr="0085138C">
        <w:rPr>
          <w:rFonts w:cs="Arial"/>
          <w:sz w:val="20"/>
        </w:rPr>
        <w:t xml:space="preserve">Application layer views and services prepare the final output into the context required by the client application.   It is recommended that these views and services match up to client API structures (object model, XML complex types and SQL tables).  In other words, the client structure dictates the naming conventions and view contents.  If XML shaping is required, then </w:t>
      </w:r>
      <w:r>
        <w:rPr>
          <w:rFonts w:cs="Arial"/>
          <w:sz w:val="20"/>
        </w:rPr>
        <w:t>Tibco</w:t>
      </w:r>
      <w:r w:rsidRPr="0085138C">
        <w:rPr>
          <w:rFonts w:cs="Arial"/>
          <w:sz w:val="20"/>
        </w:rPr>
        <w:t xml:space="preserve"> provides XQuery, XSLT or SQL procedures with XML functions for shaping XML.  If SQL result sets are needed, then a SQL procedure can be used to provide the output as a cursor.  </w:t>
      </w:r>
      <w:r>
        <w:rPr>
          <w:rFonts w:cs="Arial"/>
          <w:sz w:val="20"/>
        </w:rPr>
        <w:t>Tibco</w:t>
      </w:r>
      <w:r w:rsidRPr="0085138C">
        <w:rPr>
          <w:rFonts w:cs="Arial"/>
          <w:sz w:val="20"/>
        </w:rPr>
        <w:t xml:space="preserve"> SQL views or SQL procedures can be published as database resources.  Web services can be published through top-down (aka contract-first) design or bottom-up (auto-generation) design methods. </w:t>
      </w:r>
    </w:p>
    <w:p w14:paraId="1C64ADD9" w14:textId="780F217D" w:rsidR="0069499D" w:rsidRPr="0085138C" w:rsidRDefault="0069499D" w:rsidP="0069499D">
      <w:pPr>
        <w:pStyle w:val="CS-Bodytext"/>
        <w:rPr>
          <w:rFonts w:cs="Arial"/>
        </w:rPr>
      </w:pPr>
      <w:r w:rsidRPr="0085138C">
        <w:rPr>
          <w:rFonts w:cs="Arial"/>
          <w:noProof/>
        </w:rPr>
        <w:drawing>
          <wp:inline distT="0" distB="0" distL="0" distR="0" wp14:anchorId="4663BA2D" wp14:editId="31C545AF">
            <wp:extent cx="5935345" cy="1109345"/>
            <wp:effectExtent l="0" t="0" r="8255" b="8255"/>
            <wp:docPr id="82" name="Picture 82" descr="ApplicationLayer_full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icationLayer_full_v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109345"/>
                    </a:xfrm>
                    <a:prstGeom prst="rect">
                      <a:avLst/>
                    </a:prstGeom>
                    <a:noFill/>
                    <a:ln>
                      <a:noFill/>
                    </a:ln>
                  </pic:spPr>
                </pic:pic>
              </a:graphicData>
            </a:graphic>
          </wp:inline>
        </w:drawing>
      </w:r>
    </w:p>
    <w:p w14:paraId="5D6E30DA" w14:textId="77777777" w:rsidR="0069499D" w:rsidRPr="0085138C" w:rsidRDefault="0069499D" w:rsidP="0069499D">
      <w:pPr>
        <w:pStyle w:val="CS-Bodytext"/>
        <w:ind w:left="2880"/>
        <w:rPr>
          <w:rFonts w:cs="Arial"/>
          <w:i/>
          <w:iCs/>
          <w:sz w:val="18"/>
          <w:szCs w:val="18"/>
        </w:rPr>
      </w:pPr>
      <w:r w:rsidRPr="0085138C">
        <w:rPr>
          <w:rFonts w:cs="Arial"/>
          <w:i/>
          <w:iCs/>
          <w:sz w:val="18"/>
          <w:szCs w:val="18"/>
        </w:rPr>
        <w:t xml:space="preserve">      Figure Thirteen: Application Layer </w:t>
      </w:r>
    </w:p>
    <w:p w14:paraId="6754FEEC" w14:textId="77777777" w:rsidR="0069499D" w:rsidRPr="0085138C" w:rsidRDefault="0069499D" w:rsidP="0069499D">
      <w:pPr>
        <w:pStyle w:val="CS-Bodytext"/>
        <w:rPr>
          <w:rFonts w:cs="Arial"/>
          <w:sz w:val="20"/>
        </w:rPr>
      </w:pPr>
      <w:r w:rsidRPr="0085138C">
        <w:rPr>
          <w:rFonts w:cs="Arial"/>
          <w:sz w:val="20"/>
        </w:rPr>
        <w:t xml:space="preserve">Application layer guidelines include: </w:t>
      </w:r>
    </w:p>
    <w:p w14:paraId="42C49ADF"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Client API Abstraction </w:t>
      </w:r>
      <w:r w:rsidRPr="0085138C">
        <w:rPr>
          <w:rFonts w:cs="Arial"/>
          <w:bCs/>
          <w:sz w:val="20"/>
        </w:rPr>
        <w:t xml:space="preserve">– </w:t>
      </w:r>
      <w:r w:rsidRPr="0085138C">
        <w:rPr>
          <w:rFonts w:cs="Arial"/>
          <w:sz w:val="20"/>
        </w:rPr>
        <w:t>The application layer is the client API abstraction layer and names of items should reflect the needs of the client API object.</w:t>
      </w:r>
    </w:p>
    <w:p w14:paraId="0B762F83" w14:textId="77777777" w:rsidR="0069499D" w:rsidRPr="0085138C" w:rsidRDefault="0069499D" w:rsidP="0069499D">
      <w:pPr>
        <w:pStyle w:val="CS-Bodytext"/>
        <w:numPr>
          <w:ilvl w:val="0"/>
          <w:numId w:val="42"/>
        </w:numPr>
        <w:rPr>
          <w:rFonts w:cs="Arial"/>
          <w:sz w:val="20"/>
        </w:rPr>
      </w:pPr>
      <w:r w:rsidRPr="0085138C">
        <w:rPr>
          <w:rFonts w:cs="Arial"/>
          <w:b/>
          <w:bCs/>
          <w:sz w:val="20"/>
        </w:rPr>
        <w:lastRenderedPageBreak/>
        <w:t xml:space="preserve">Business to Client Mapping </w:t>
      </w:r>
      <w:r w:rsidRPr="0085138C">
        <w:rPr>
          <w:rFonts w:cs="Arial"/>
          <w:bCs/>
          <w:sz w:val="20"/>
        </w:rPr>
        <w:t>–</w:t>
      </w:r>
      <w:r w:rsidRPr="0085138C">
        <w:rPr>
          <w:rFonts w:cs="Arial"/>
          <w:sz w:val="20"/>
        </w:rPr>
        <w:t> This layer serves as the business to client mapping and may involve a projection of joins, transformations or views from the business layer.</w:t>
      </w:r>
    </w:p>
    <w:p w14:paraId="5009678A"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Data Manipulation </w:t>
      </w:r>
      <w:r w:rsidRPr="0085138C">
        <w:rPr>
          <w:rFonts w:cs="Arial"/>
          <w:bCs/>
          <w:sz w:val="20"/>
        </w:rPr>
        <w:t xml:space="preserve">– </w:t>
      </w:r>
      <w:r w:rsidRPr="0085138C">
        <w:rPr>
          <w:rFonts w:cs="Arial"/>
          <w:sz w:val="20"/>
        </w:rPr>
        <w:t>Data from the application layer views can be manipulated using “order by”, “group by” and aggregation but the names from the client views should be retained for consistency throughout the organization.</w:t>
      </w:r>
    </w:p>
    <w:p w14:paraId="13D606C2"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Narrow Results </w:t>
      </w:r>
      <w:r w:rsidRPr="0085138C">
        <w:rPr>
          <w:rFonts w:cs="Arial"/>
          <w:bCs/>
          <w:sz w:val="20"/>
        </w:rPr>
        <w:t xml:space="preserve">– </w:t>
      </w:r>
      <w:r w:rsidRPr="0085138C">
        <w:rPr>
          <w:rFonts w:cs="Arial"/>
          <w:sz w:val="20"/>
        </w:rPr>
        <w:t xml:space="preserve"> Narrow results by selection criteria and parameterized queries</w:t>
      </w:r>
    </w:p>
    <w:p w14:paraId="14CDE9FD"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Client </w:t>
      </w:r>
      <w:r w:rsidRPr="0085138C">
        <w:rPr>
          <w:rFonts w:cs="Arial"/>
          <w:bCs/>
          <w:sz w:val="20"/>
        </w:rPr>
        <w:t xml:space="preserve">– </w:t>
      </w:r>
      <w:r w:rsidRPr="0085138C">
        <w:rPr>
          <w:rFonts w:cs="Arial"/>
          <w:sz w:val="20"/>
        </w:rPr>
        <w:t xml:space="preserve">Data can be materialized (cached) intelligently at this layer to provide the best possible consumer response and throughput. </w:t>
      </w:r>
    </w:p>
    <w:p w14:paraId="3A965A83" w14:textId="77777777" w:rsidR="0069499D" w:rsidRPr="0085138C" w:rsidRDefault="0069499D" w:rsidP="0069499D">
      <w:pPr>
        <w:pStyle w:val="CS-Bodytext"/>
        <w:numPr>
          <w:ilvl w:val="0"/>
          <w:numId w:val="42"/>
        </w:numPr>
        <w:rPr>
          <w:rFonts w:cs="Arial"/>
          <w:sz w:val="20"/>
        </w:rPr>
      </w:pPr>
      <w:r w:rsidRPr="0085138C">
        <w:rPr>
          <w:rFonts w:cs="Arial"/>
          <w:b/>
          <w:bCs/>
          <w:sz w:val="20"/>
        </w:rPr>
        <w:t xml:space="preserve">Publish Database Views or Web Services </w:t>
      </w:r>
      <w:r w:rsidRPr="0085138C">
        <w:rPr>
          <w:rFonts w:cs="Arial"/>
          <w:bCs/>
          <w:sz w:val="20"/>
        </w:rPr>
        <w:t>–</w:t>
      </w:r>
      <w:r w:rsidRPr="0085138C">
        <w:rPr>
          <w:rFonts w:cs="Arial"/>
          <w:sz w:val="20"/>
        </w:rPr>
        <w:t xml:space="preserve"> The application layer contains candidates for publishing as a view or web service</w:t>
      </w:r>
    </w:p>
    <w:p w14:paraId="351B37FF" w14:textId="5914D380" w:rsidR="0069499D" w:rsidRPr="0085138C" w:rsidRDefault="0069499D" w:rsidP="0069499D">
      <w:pPr>
        <w:pStyle w:val="CS-Bodytext"/>
        <w:ind w:left="720"/>
        <w:rPr>
          <w:rFonts w:cs="Arial"/>
        </w:rPr>
      </w:pPr>
      <w:r w:rsidRPr="0085138C">
        <w:rPr>
          <w:rFonts w:cs="Arial"/>
          <w:noProof/>
        </w:rPr>
        <w:drawing>
          <wp:inline distT="0" distB="0" distL="0" distR="0" wp14:anchorId="7AEA217E" wp14:editId="37B29542">
            <wp:extent cx="5274945" cy="3420745"/>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420745"/>
                    </a:xfrm>
                    <a:prstGeom prst="rect">
                      <a:avLst/>
                    </a:prstGeom>
                    <a:noFill/>
                    <a:ln>
                      <a:noFill/>
                    </a:ln>
                  </pic:spPr>
                </pic:pic>
              </a:graphicData>
            </a:graphic>
          </wp:inline>
        </w:drawing>
      </w:r>
    </w:p>
    <w:p w14:paraId="2DEC7FD6" w14:textId="1F8C16FB" w:rsidR="00E4347C" w:rsidRDefault="0069499D" w:rsidP="0069499D">
      <w:pPr>
        <w:pStyle w:val="CS-Bodytext"/>
        <w:jc w:val="center"/>
        <w:rPr>
          <w:rFonts w:cs="Arial"/>
          <w:i/>
          <w:iCs/>
          <w:sz w:val="18"/>
          <w:szCs w:val="18"/>
        </w:rPr>
      </w:pPr>
      <w:r w:rsidRPr="0085138C">
        <w:rPr>
          <w:rFonts w:cs="Arial"/>
          <w:i/>
          <w:iCs/>
          <w:sz w:val="18"/>
          <w:szCs w:val="18"/>
        </w:rPr>
        <w:t>Figure Fourteen: Mapping Service Example</w:t>
      </w:r>
    </w:p>
    <w:p w14:paraId="48F54F7F" w14:textId="1C2248F7" w:rsidR="00050F1C" w:rsidRDefault="00050F1C" w:rsidP="00050F1C">
      <w:pPr>
        <w:pStyle w:val="Heading1Numbered"/>
      </w:pPr>
      <w:bookmarkStart w:id="39" w:name="_Toc48818885"/>
      <w:r>
        <w:lastRenderedPageBreak/>
        <w:t>Summary of Key Benefits</w:t>
      </w:r>
      <w:bookmarkEnd w:id="39"/>
    </w:p>
    <w:p w14:paraId="038FD0F0" w14:textId="77777777" w:rsidR="0069499D" w:rsidRPr="0085138C" w:rsidRDefault="0069499D" w:rsidP="0069499D">
      <w:pPr>
        <w:pStyle w:val="NormalWeb"/>
        <w:spacing w:line="276" w:lineRule="auto"/>
        <w:rPr>
          <w:rFonts w:ascii="Arial" w:hAnsi="Arial" w:cs="Arial"/>
          <w:sz w:val="20"/>
          <w:szCs w:val="20"/>
        </w:rPr>
      </w:pPr>
      <w:r w:rsidRPr="0085138C">
        <w:rPr>
          <w:rFonts w:ascii="Arial" w:hAnsi="Arial" w:cs="Arial"/>
          <w:sz w:val="20"/>
          <w:szCs w:val="20"/>
        </w:rPr>
        <w:t xml:space="preserve">Data abstraction bridges the gap between business needs and source data’s original form. This best practice implementation of </w:t>
      </w:r>
      <w:hyperlink r:id="rId22" w:history="1">
        <w:r w:rsidRPr="0085138C">
          <w:rPr>
            <w:rStyle w:val="Hyperlink"/>
            <w:sz w:val="20"/>
            <w:szCs w:val="20"/>
          </w:rPr>
          <w:t>data virtualization</w:t>
        </w:r>
      </w:hyperlink>
      <w:r w:rsidRPr="0085138C">
        <w:rPr>
          <w:rFonts w:ascii="Arial" w:hAnsi="Arial" w:cs="Arial"/>
          <w:sz w:val="20"/>
          <w:szCs w:val="20"/>
        </w:rPr>
        <w:t xml:space="preserve"> provides the following benefits: </w:t>
      </w:r>
    </w:p>
    <w:p w14:paraId="3F4F33EC"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Simplify information access</w:t>
      </w:r>
      <w:r w:rsidRPr="0085138C">
        <w:rPr>
          <w:rFonts w:ascii="Arial" w:hAnsi="Arial" w:cs="Arial"/>
          <w:sz w:val="20"/>
        </w:rPr>
        <w:t xml:space="preserve"> – Bridge business and IT terminology and technology so both can succeed.</w:t>
      </w:r>
    </w:p>
    <w:p w14:paraId="5C87A911"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Common business view of the data </w:t>
      </w:r>
      <w:r w:rsidRPr="0085138C">
        <w:rPr>
          <w:rFonts w:ascii="Arial" w:hAnsi="Arial" w:cs="Arial"/>
          <w:sz w:val="20"/>
        </w:rPr>
        <w:t>– Gain agility, efficiency and reuse across applications via an enterprise information model or “Canonical” model.</w:t>
      </w:r>
    </w:p>
    <w:p w14:paraId="5B6DE430"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More accurate data </w:t>
      </w:r>
      <w:r w:rsidRPr="0085138C">
        <w:rPr>
          <w:rFonts w:ascii="Arial" w:hAnsi="Arial" w:cs="Arial"/>
          <w:sz w:val="20"/>
        </w:rPr>
        <w:t>–Consistently apply data quality and validation rules across all data sources.</w:t>
      </w:r>
    </w:p>
    <w:p w14:paraId="21D7FEAC"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More secure data </w:t>
      </w:r>
      <w:r w:rsidRPr="0085138C">
        <w:rPr>
          <w:rFonts w:ascii="Arial" w:hAnsi="Arial" w:cs="Arial"/>
          <w:sz w:val="20"/>
        </w:rPr>
        <w:t>– Consistently apply data security rules across all data sources and consumers via a unified security framework.</w:t>
      </w:r>
    </w:p>
    <w:p w14:paraId="7651E246" w14:textId="77777777" w:rsidR="0069499D" w:rsidRPr="0085138C" w:rsidRDefault="0069499D" w:rsidP="0069499D">
      <w:pPr>
        <w:numPr>
          <w:ilvl w:val="0"/>
          <w:numId w:val="44"/>
        </w:numPr>
        <w:spacing w:before="240" w:after="100" w:afterAutospacing="1" w:line="276" w:lineRule="auto"/>
        <w:rPr>
          <w:rFonts w:ascii="Arial" w:hAnsi="Arial" w:cs="Arial"/>
          <w:sz w:val="20"/>
        </w:rPr>
      </w:pPr>
      <w:r w:rsidRPr="0085138C">
        <w:rPr>
          <w:rStyle w:val="Strong"/>
          <w:rFonts w:ascii="Arial" w:hAnsi="Arial" w:cs="Arial"/>
          <w:sz w:val="20"/>
        </w:rPr>
        <w:t xml:space="preserve">End-to-end control </w:t>
      </w:r>
      <w:r w:rsidRPr="0085138C">
        <w:rPr>
          <w:rFonts w:ascii="Arial" w:hAnsi="Arial" w:cs="Arial"/>
          <w:sz w:val="20"/>
        </w:rPr>
        <w:t>– Use a data virtualization platform to consistently manage data access and delivery across multiple sources and consumers.</w:t>
      </w:r>
    </w:p>
    <w:p w14:paraId="073A7F90" w14:textId="674054F2" w:rsidR="00050F1C" w:rsidRDefault="0069499D" w:rsidP="0069499D">
      <w:pPr>
        <w:pStyle w:val="CS-Bodytext"/>
      </w:pPr>
      <w:r w:rsidRPr="0085138C">
        <w:rPr>
          <w:rStyle w:val="Strong"/>
          <w:rFonts w:cs="Arial"/>
          <w:sz w:val="20"/>
        </w:rPr>
        <w:t xml:space="preserve">Business and IT change insulation </w:t>
      </w:r>
      <w:r w:rsidRPr="0085138C">
        <w:rPr>
          <w:rFonts w:cs="Arial"/>
          <w:sz w:val="20"/>
        </w:rPr>
        <w:t>–Insulate consuming applications from changes in the source and vice versa.  Business users and applications developers work with a more stable view of the data.  IT can make ongoing changes and relocation of physical data sources without impacting information users.</w:t>
      </w:r>
    </w:p>
    <w:p w14:paraId="71B74AF6" w14:textId="1495DF03" w:rsidR="00050F1C" w:rsidRDefault="00050F1C" w:rsidP="00050F1C">
      <w:pPr>
        <w:pStyle w:val="Heading1Numbered"/>
      </w:pPr>
      <w:bookmarkStart w:id="40" w:name="_Toc48818886"/>
      <w:r>
        <w:lastRenderedPageBreak/>
        <w:t>Practical Next Steps</w:t>
      </w:r>
      <w:bookmarkEnd w:id="40"/>
    </w:p>
    <w:p w14:paraId="4988D527" w14:textId="77777777" w:rsidR="0069499D" w:rsidRPr="0085138C" w:rsidRDefault="0069499D" w:rsidP="0069499D">
      <w:pPr>
        <w:pStyle w:val="CS-Bodytext"/>
        <w:rPr>
          <w:rFonts w:cs="Arial"/>
          <w:sz w:val="20"/>
        </w:rPr>
      </w:pPr>
      <w:r w:rsidRPr="0085138C">
        <w:rPr>
          <w:rFonts w:cs="Arial"/>
          <w:sz w:val="20"/>
        </w:rPr>
        <w:t>Enterprises can get started on the journey to achieving the key agility and total cost of ownership benefits described above with a few simple steps. The key is getting started quickly with a manageable project that enables learning and a foundation for progress. </w:t>
      </w:r>
    </w:p>
    <w:p w14:paraId="2166109D" w14:textId="77777777" w:rsidR="0069499D" w:rsidRPr="0085138C" w:rsidRDefault="0069499D" w:rsidP="0069499D">
      <w:pPr>
        <w:pStyle w:val="CS-Bodytext"/>
        <w:numPr>
          <w:ilvl w:val="0"/>
          <w:numId w:val="45"/>
        </w:numPr>
        <w:spacing w:before="240" w:after="0"/>
        <w:rPr>
          <w:rFonts w:cs="Arial"/>
          <w:sz w:val="20"/>
        </w:rPr>
      </w:pPr>
      <w:r w:rsidRPr="0085138C">
        <w:rPr>
          <w:rFonts w:cs="Arial"/>
          <w:b/>
          <w:bCs/>
          <w:sz w:val="20"/>
        </w:rPr>
        <w:t>Set achievable goals</w:t>
      </w:r>
      <w:r w:rsidRPr="0085138C">
        <w:rPr>
          <w:rFonts w:cs="Arial"/>
          <w:bCs/>
          <w:sz w:val="20"/>
        </w:rPr>
        <w:t xml:space="preserve"> –</w:t>
      </w:r>
      <w:r w:rsidRPr="0085138C">
        <w:rPr>
          <w:rFonts w:cs="Arial"/>
          <w:b/>
          <w:bCs/>
          <w:sz w:val="20"/>
        </w:rPr>
        <w:t xml:space="preserve"> </w:t>
      </w:r>
      <w:r w:rsidRPr="0085138C">
        <w:rPr>
          <w:rFonts w:cs="Arial"/>
          <w:sz w:val="20"/>
        </w:rPr>
        <w:t xml:space="preserve">Start with projects and a focused team.  With success, broaden Business and IT team involvement to expand usage across departments toward the ultimate enterprise level deployment. </w:t>
      </w:r>
    </w:p>
    <w:p w14:paraId="63980989" w14:textId="412490AA" w:rsidR="0069499D" w:rsidRPr="0085138C" w:rsidRDefault="0069499D" w:rsidP="0069499D">
      <w:pPr>
        <w:pStyle w:val="CS-Bodytext"/>
        <w:numPr>
          <w:ilvl w:val="0"/>
          <w:numId w:val="45"/>
        </w:numPr>
        <w:spacing w:before="240" w:after="0"/>
        <w:rPr>
          <w:rFonts w:cs="Arial"/>
          <w:sz w:val="20"/>
        </w:rPr>
      </w:pPr>
      <w:r w:rsidRPr="0085138C">
        <w:rPr>
          <w:rFonts w:cs="Arial"/>
          <w:b/>
          <w:bCs/>
          <w:sz w:val="20"/>
        </w:rPr>
        <w:t xml:space="preserve">Determine levels of abstraction </w:t>
      </w:r>
      <w:r w:rsidRPr="0085138C">
        <w:rPr>
          <w:rFonts w:cs="Arial"/>
          <w:bCs/>
          <w:sz w:val="20"/>
        </w:rPr>
        <w:t>–</w:t>
      </w:r>
      <w:r w:rsidRPr="0085138C">
        <w:rPr>
          <w:rFonts w:cs="Arial"/>
          <w:b/>
          <w:bCs/>
          <w:sz w:val="20"/>
        </w:rPr>
        <w:t xml:space="preserve"> </w:t>
      </w:r>
      <w:r w:rsidRPr="0085138C">
        <w:rPr>
          <w:rFonts w:cs="Arial"/>
          <w:sz w:val="20"/>
        </w:rPr>
        <w:t xml:space="preserve">Are the four recommended layers right for your organization?  Do you need greater depth within one or more layers?  </w:t>
      </w:r>
      <w:r>
        <w:rPr>
          <w:rFonts w:cs="Arial"/>
          <w:sz w:val="20"/>
        </w:rPr>
        <w:t>Tibco Professional</w:t>
      </w:r>
      <w:r w:rsidRPr="0085138C">
        <w:rPr>
          <w:rFonts w:cs="Arial"/>
          <w:sz w:val="20"/>
        </w:rPr>
        <w:t xml:space="preserve"> Services can help answer these questions and get you started on the right path.</w:t>
      </w:r>
    </w:p>
    <w:p w14:paraId="5AB2B6F1" w14:textId="77777777" w:rsidR="0069499D" w:rsidRPr="0085138C" w:rsidRDefault="0069499D" w:rsidP="0069499D">
      <w:pPr>
        <w:pStyle w:val="CS-Bodytext"/>
        <w:numPr>
          <w:ilvl w:val="0"/>
          <w:numId w:val="45"/>
        </w:numPr>
        <w:spacing w:before="240" w:after="0"/>
        <w:rPr>
          <w:rFonts w:cs="Arial"/>
          <w:sz w:val="20"/>
        </w:rPr>
      </w:pPr>
      <w:r w:rsidRPr="0085138C">
        <w:rPr>
          <w:rFonts w:cs="Arial"/>
          <w:b/>
          <w:bCs/>
          <w:sz w:val="20"/>
        </w:rPr>
        <w:t xml:space="preserve">Determine modeling and mapping approach </w:t>
      </w:r>
      <w:r w:rsidRPr="0085138C">
        <w:rPr>
          <w:rFonts w:cs="Arial"/>
          <w:bCs/>
          <w:sz w:val="20"/>
        </w:rPr>
        <w:t>–</w:t>
      </w:r>
      <w:r w:rsidRPr="0085138C">
        <w:rPr>
          <w:rFonts w:cs="Arial"/>
          <w:b/>
          <w:bCs/>
          <w:sz w:val="20"/>
        </w:rPr>
        <w:t xml:space="preserve"> </w:t>
      </w:r>
      <w:r w:rsidRPr="0085138C">
        <w:rPr>
          <w:rFonts w:cs="Arial"/>
          <w:sz w:val="20"/>
        </w:rPr>
        <w:t xml:space="preserve">Should you use top-down, bottom-up, or some of both?  </w:t>
      </w:r>
    </w:p>
    <w:p w14:paraId="15212427" w14:textId="2D5ED218" w:rsidR="0069499D" w:rsidRPr="0085138C" w:rsidRDefault="0069499D" w:rsidP="0069499D">
      <w:pPr>
        <w:pStyle w:val="CS-Bodytext"/>
        <w:numPr>
          <w:ilvl w:val="1"/>
          <w:numId w:val="45"/>
        </w:numPr>
        <w:spacing w:before="240" w:after="0"/>
        <w:rPr>
          <w:rFonts w:cs="Arial"/>
          <w:sz w:val="20"/>
        </w:rPr>
      </w:pPr>
      <w:r w:rsidRPr="0085138C">
        <w:rPr>
          <w:rFonts w:cs="Arial"/>
          <w:sz w:val="20"/>
        </w:rPr>
        <w:t xml:space="preserve">Top down – You have a vision and you want to find the data to fulfill it.  This is often referred to as Contract-First design.  In this approach </w:t>
      </w:r>
      <w:r>
        <w:rPr>
          <w:rFonts w:cs="Arial"/>
          <w:sz w:val="20"/>
        </w:rPr>
        <w:t>Tibco D</w:t>
      </w:r>
      <w:r w:rsidR="00FB263D">
        <w:rPr>
          <w:rFonts w:cs="Arial"/>
          <w:sz w:val="20"/>
        </w:rPr>
        <w:t xml:space="preserve">ata </w:t>
      </w:r>
      <w:r>
        <w:rPr>
          <w:rFonts w:cs="Arial"/>
          <w:sz w:val="20"/>
        </w:rPr>
        <w:t>V</w:t>
      </w:r>
      <w:r w:rsidR="00FB263D">
        <w:rPr>
          <w:rFonts w:cs="Arial"/>
          <w:sz w:val="20"/>
        </w:rPr>
        <w:t>irtualization</w:t>
      </w:r>
      <w:r w:rsidRPr="0085138C">
        <w:rPr>
          <w:rFonts w:cs="Arial"/>
          <w:sz w:val="20"/>
        </w:rPr>
        <w:t xml:space="preserve"> allows you to start with your own WSDL and map </w:t>
      </w:r>
      <w:r>
        <w:rPr>
          <w:rFonts w:cs="Arial"/>
          <w:sz w:val="20"/>
        </w:rPr>
        <w:t>Tibco</w:t>
      </w:r>
      <w:r w:rsidRPr="0085138C">
        <w:rPr>
          <w:rFonts w:cs="Arial"/>
          <w:sz w:val="20"/>
        </w:rPr>
        <w:t xml:space="preserve"> services to your contract.</w:t>
      </w:r>
    </w:p>
    <w:p w14:paraId="3374B586" w14:textId="217E263A" w:rsidR="0069499D" w:rsidRPr="0085138C" w:rsidRDefault="0069499D" w:rsidP="0069499D">
      <w:pPr>
        <w:pStyle w:val="CS-Bodytext"/>
        <w:numPr>
          <w:ilvl w:val="1"/>
          <w:numId w:val="45"/>
        </w:numPr>
        <w:spacing w:before="240" w:after="0"/>
        <w:rPr>
          <w:rFonts w:cs="Arial"/>
          <w:sz w:val="20"/>
        </w:rPr>
      </w:pPr>
      <w:r w:rsidRPr="0085138C">
        <w:rPr>
          <w:rFonts w:cs="Arial"/>
          <w:sz w:val="20"/>
        </w:rPr>
        <w:t xml:space="preserve">Bottom up – You know what your data looks like, now how do you make it usable by others.  In this approach, </w:t>
      </w:r>
      <w:r>
        <w:rPr>
          <w:rFonts w:cs="Arial"/>
          <w:sz w:val="20"/>
        </w:rPr>
        <w:t xml:space="preserve">Tibco </w:t>
      </w:r>
      <w:r w:rsidR="00FB263D">
        <w:rPr>
          <w:rFonts w:cs="Arial"/>
          <w:sz w:val="20"/>
        </w:rPr>
        <w:t xml:space="preserve">Data </w:t>
      </w:r>
      <w:proofErr w:type="spellStart"/>
      <w:r w:rsidR="00FB263D">
        <w:rPr>
          <w:rFonts w:cs="Arial"/>
          <w:sz w:val="20"/>
        </w:rPr>
        <w:t>Virtualization</w:t>
      </w:r>
      <w:r w:rsidRPr="0085138C">
        <w:rPr>
          <w:rFonts w:cs="Arial"/>
          <w:sz w:val="20"/>
        </w:rPr>
        <w:t>allows</w:t>
      </w:r>
      <w:proofErr w:type="spellEnd"/>
      <w:r w:rsidRPr="0085138C">
        <w:rPr>
          <w:rFonts w:cs="Arial"/>
          <w:sz w:val="20"/>
        </w:rPr>
        <w:t xml:space="preserve"> you to generate or publish resources such as SQL view and Web services directly from the </w:t>
      </w:r>
      <w:r>
        <w:rPr>
          <w:rFonts w:cs="Arial"/>
          <w:sz w:val="20"/>
        </w:rPr>
        <w:t xml:space="preserve">Tibco </w:t>
      </w:r>
      <w:r w:rsidR="00FB263D">
        <w:rPr>
          <w:rFonts w:cs="Arial"/>
          <w:sz w:val="20"/>
        </w:rPr>
        <w:t>Data Virtualization</w:t>
      </w:r>
      <w:r w:rsidR="00FB263D" w:rsidRPr="0085138C">
        <w:rPr>
          <w:rFonts w:cs="Arial"/>
          <w:sz w:val="20"/>
        </w:rPr>
        <w:t xml:space="preserve"> </w:t>
      </w:r>
      <w:r w:rsidRPr="0085138C">
        <w:rPr>
          <w:rFonts w:cs="Arial"/>
          <w:sz w:val="20"/>
        </w:rPr>
        <w:t>introspected sources.</w:t>
      </w:r>
    </w:p>
    <w:p w14:paraId="1F64A8DA" w14:textId="77777777" w:rsidR="0069499D" w:rsidRPr="0085138C" w:rsidRDefault="0069499D" w:rsidP="0069499D">
      <w:pPr>
        <w:pStyle w:val="CS-Bodytext"/>
        <w:numPr>
          <w:ilvl w:val="1"/>
          <w:numId w:val="45"/>
        </w:numPr>
        <w:spacing w:before="240" w:after="0"/>
        <w:rPr>
          <w:rFonts w:cs="Arial"/>
          <w:sz w:val="20"/>
        </w:rPr>
      </w:pPr>
      <w:r w:rsidRPr="0085138C">
        <w:rPr>
          <w:rFonts w:cs="Arial"/>
          <w:sz w:val="20"/>
        </w:rPr>
        <w:t>Both – Mix and match appropriately according to domains and needs.</w:t>
      </w:r>
    </w:p>
    <w:p w14:paraId="346DCC37" w14:textId="73AE7E7F" w:rsidR="00050F1C" w:rsidRDefault="0069499D" w:rsidP="0069499D">
      <w:pPr>
        <w:pStyle w:val="CS-Bodytext"/>
      </w:pPr>
      <w:r w:rsidRPr="0085138C">
        <w:rPr>
          <w:rFonts w:cs="Arial"/>
          <w:b/>
          <w:bCs/>
          <w:sz w:val="20"/>
        </w:rPr>
        <w:t>Start now!</w:t>
      </w:r>
      <w:r w:rsidRPr="0085138C">
        <w:rPr>
          <w:rFonts w:cs="Arial"/>
          <w:sz w:val="20"/>
        </w:rPr>
        <w:t xml:space="preserve">  </w:t>
      </w:r>
      <w:r w:rsidRPr="0085138C">
        <w:rPr>
          <w:rFonts w:cs="Arial"/>
          <w:bCs/>
          <w:sz w:val="20"/>
        </w:rPr>
        <w:t>–</w:t>
      </w:r>
      <w:r w:rsidRPr="0085138C">
        <w:rPr>
          <w:rFonts w:cs="Arial"/>
          <w:b/>
          <w:bCs/>
          <w:sz w:val="20"/>
        </w:rPr>
        <w:t xml:space="preserve"> </w:t>
      </w:r>
      <w:r w:rsidRPr="0085138C">
        <w:rPr>
          <w:rFonts w:cs="Arial"/>
          <w:sz w:val="20"/>
        </w:rPr>
        <w:t>Don’t over analyze.  Getting started now with small steps is the best way to learn, progress, and gain value</w:t>
      </w:r>
      <w:r w:rsidR="00050F1C" w:rsidRPr="008A6D1A">
        <w:rPr>
          <w:rFonts w:cs="Arial"/>
          <w:sz w:val="20"/>
        </w:rPr>
        <w:t>.</w:t>
      </w:r>
    </w:p>
    <w:p w14:paraId="585071DD" w14:textId="77777777" w:rsidR="00F34FDE" w:rsidRPr="00C34859" w:rsidRDefault="00F34FDE" w:rsidP="00090AD9">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A5933" w14:textId="77777777" w:rsidR="005637F8" w:rsidRDefault="005637F8">
      <w:r>
        <w:separator/>
      </w:r>
    </w:p>
  </w:endnote>
  <w:endnote w:type="continuationSeparator" w:id="0">
    <w:p w14:paraId="0EEF31AC" w14:textId="77777777" w:rsidR="005637F8" w:rsidRDefault="00563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Gotham">
    <w:altName w:val="Times New Roman"/>
    <w:charset w:val="00"/>
    <w:family w:val="auto"/>
    <w:pitch w:val="variable"/>
    <w:sig w:usb0="800000A7"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9B75497" w:rsidR="00E42930" w:rsidRPr="003A4DAD" w:rsidRDefault="00E4293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5CD88"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324855">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3F4C26">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3F4C26">
      <w:rPr>
        <w:rFonts w:ascii="Helvetica" w:hAnsi="Helvetica" w:cs="Arial"/>
        <w:noProof/>
        <w:color w:val="000000"/>
        <w:sz w:val="18"/>
      </w:rPr>
      <w:t>21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42930" w:rsidRDefault="00E4293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E42930" w:rsidRPr="00F547FF" w:rsidRDefault="00E4293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E42930" w:rsidRPr="00F547FF" w:rsidRDefault="00E4293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E42930" w:rsidRDefault="00E4293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42930" w:rsidRDefault="00E42930" w:rsidP="000D7111">
                          <w:r w:rsidRPr="00F85776">
                            <w:rPr>
                              <w:rFonts w:ascii="Calibri" w:hAnsi="Calibri"/>
                              <w:color w:val="FFFFFF"/>
                              <w:kern w:val="24"/>
                            </w:rPr>
                            <w:t xml:space="preserve">          +1 800-420-8450</w:t>
                          </w:r>
                        </w:p>
                        <w:p w14:paraId="074D88CD" w14:textId="77777777" w:rsidR="00E42930" w:rsidRDefault="00E4293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E42930" w:rsidRDefault="00E4293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42930" w:rsidRDefault="00E42930" w:rsidP="000D7111">
                    <w:r w:rsidRPr="00F85776">
                      <w:rPr>
                        <w:rFonts w:ascii="Calibri" w:hAnsi="Calibri"/>
                        <w:color w:val="FFFFFF"/>
                        <w:kern w:val="24"/>
                      </w:rPr>
                      <w:t xml:space="preserve">          +1 800-420-8450</w:t>
                    </w:r>
                  </w:p>
                  <w:p w14:paraId="074D88CD" w14:textId="77777777" w:rsidR="00E42930" w:rsidRDefault="00E4293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E42930" w:rsidRPr="005456F3" w:rsidRDefault="00E42930" w:rsidP="000D7111">
                          <w:pPr>
                            <w:spacing w:after="120" w:line="266" w:lineRule="auto"/>
                          </w:pPr>
                          <w:r w:rsidRPr="00F85776">
                            <w:rPr>
                              <w:rFonts w:ascii="Calibri" w:hAnsi="Calibri"/>
                              <w:bCs/>
                              <w:color w:val="FFFFFF"/>
                              <w:kern w:val="24"/>
                            </w:rPr>
                            <w:t>www.tibco.com</w:t>
                          </w:r>
                        </w:p>
                        <w:p w14:paraId="22C56725" w14:textId="77777777" w:rsidR="00E42930" w:rsidRPr="005456F3" w:rsidRDefault="00E42930" w:rsidP="000D7111">
                          <w:r w:rsidRPr="00F85776">
                            <w:rPr>
                              <w:rFonts w:ascii="Calibri" w:hAnsi="Calibri"/>
                              <w:bCs/>
                              <w:color w:val="FFFFFF"/>
                              <w:kern w:val="24"/>
                            </w:rPr>
                            <w:t>Global Headquarters</w:t>
                          </w:r>
                        </w:p>
                        <w:p w14:paraId="0A12B024" w14:textId="77777777" w:rsidR="00E42930" w:rsidRPr="005456F3" w:rsidRDefault="00E42930" w:rsidP="000D7111">
                          <w:r w:rsidRPr="00F85776">
                            <w:rPr>
                              <w:rFonts w:ascii="Calibri" w:hAnsi="Calibri"/>
                              <w:bCs/>
                              <w:color w:val="FFFFFF"/>
                              <w:kern w:val="24"/>
                            </w:rPr>
                            <w:t>3303 Hillview Avenue</w:t>
                          </w:r>
                        </w:p>
                        <w:p w14:paraId="09FC0350" w14:textId="77777777" w:rsidR="00E42930" w:rsidRPr="005456F3" w:rsidRDefault="00E4293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E42930" w:rsidRPr="005456F3" w:rsidRDefault="00E42930" w:rsidP="000D7111">
                    <w:pPr>
                      <w:spacing w:after="120" w:line="266" w:lineRule="auto"/>
                    </w:pPr>
                    <w:r w:rsidRPr="00F85776">
                      <w:rPr>
                        <w:rFonts w:ascii="Calibri" w:hAnsi="Calibri"/>
                        <w:bCs/>
                        <w:color w:val="FFFFFF"/>
                        <w:kern w:val="24"/>
                      </w:rPr>
                      <w:t>www.tibco.com</w:t>
                    </w:r>
                  </w:p>
                  <w:p w14:paraId="22C56725" w14:textId="77777777" w:rsidR="00E42930" w:rsidRPr="005456F3" w:rsidRDefault="00E42930" w:rsidP="000D7111">
                    <w:r w:rsidRPr="00F85776">
                      <w:rPr>
                        <w:rFonts w:ascii="Calibri" w:hAnsi="Calibri"/>
                        <w:bCs/>
                        <w:color w:val="FFFFFF"/>
                        <w:kern w:val="24"/>
                      </w:rPr>
                      <w:t>Global Headquarters</w:t>
                    </w:r>
                  </w:p>
                  <w:p w14:paraId="0A12B024" w14:textId="77777777" w:rsidR="00E42930" w:rsidRPr="005456F3" w:rsidRDefault="00E42930" w:rsidP="000D7111">
                    <w:r w:rsidRPr="00F85776">
                      <w:rPr>
                        <w:rFonts w:ascii="Calibri" w:hAnsi="Calibri"/>
                        <w:bCs/>
                        <w:color w:val="FFFFFF"/>
                        <w:kern w:val="24"/>
                      </w:rPr>
                      <w:t>3303 Hillview Avenue</w:t>
                    </w:r>
                  </w:p>
                  <w:p w14:paraId="09FC0350" w14:textId="77777777" w:rsidR="00E42930" w:rsidRPr="005456F3" w:rsidRDefault="00E4293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E230B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71EB6" w14:textId="77777777" w:rsidR="005637F8" w:rsidRDefault="005637F8">
      <w:r>
        <w:separator/>
      </w:r>
    </w:p>
  </w:footnote>
  <w:footnote w:type="continuationSeparator" w:id="0">
    <w:p w14:paraId="69B1A032" w14:textId="77777777" w:rsidR="005637F8" w:rsidRDefault="005637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088C9CAD" w:rsidR="00E42930" w:rsidRPr="008B237F" w:rsidRDefault="00E4293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55002"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E7319"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 Data Abstraction Best Practices White Paper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F9ECE18" w:rsidR="00E42930" w:rsidRDefault="00E42930">
    <w:pPr>
      <w:pStyle w:val="Header"/>
    </w:pPr>
    <w:r>
      <w:rPr>
        <w:noProof/>
      </w:rPr>
      <w:drawing>
        <wp:anchor distT="0" distB="0" distL="114300" distR="114300" simplePos="0" relativeHeight="251663360" behindDoc="0" locked="0" layoutInCell="1" allowOverlap="1" wp14:anchorId="0178615B" wp14:editId="4A55405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FB63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5D1E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4" w15:restartNumberingAfterBreak="0">
    <w:nsid w:val="14855CE1"/>
    <w:multiLevelType w:val="multilevel"/>
    <w:tmpl w:val="4B7EA606"/>
    <w:lvl w:ilvl="0">
      <w:start w:val="1"/>
      <w:numFmt w:val="bullet"/>
      <w:lvlText w:val="◦"/>
      <w:lvlJc w:val="left"/>
      <w:pPr>
        <w:tabs>
          <w:tab w:val="num" w:pos="648"/>
        </w:tabs>
        <w:ind w:left="576" w:firstLine="0"/>
      </w:pPr>
      <w:rPr>
        <w:rFonts w:ascii="Times New Roman" w:hAnsi="Times New Roman" w:cs="Times New Roman" w:hint="default"/>
        <w:position w:val="0"/>
        <w:sz w:val="20"/>
        <w:szCs w:val="20"/>
      </w:rPr>
    </w:lvl>
    <w:lvl w:ilvl="1">
      <w:start w:val="1"/>
      <w:numFmt w:val="bullet"/>
      <w:lvlText w:val="o"/>
      <w:lvlJc w:val="left"/>
      <w:pPr>
        <w:tabs>
          <w:tab w:val="num" w:pos="1886"/>
        </w:tabs>
        <w:ind w:left="1886" w:hanging="360"/>
      </w:pPr>
      <w:rPr>
        <w:rFonts w:ascii="Courier New" w:hAnsi="Courier New" w:cs="Symbol" w:hint="default"/>
      </w:rPr>
    </w:lvl>
    <w:lvl w:ilvl="2">
      <w:start w:val="1"/>
      <w:numFmt w:val="bullet"/>
      <w:lvlText w:val=""/>
      <w:lvlJc w:val="left"/>
      <w:pPr>
        <w:tabs>
          <w:tab w:val="num" w:pos="2606"/>
        </w:tabs>
        <w:ind w:left="2606" w:hanging="360"/>
      </w:pPr>
      <w:rPr>
        <w:rFonts w:ascii="Wingdings" w:hAnsi="Wingdings" w:hint="default"/>
      </w:rPr>
    </w:lvl>
    <w:lvl w:ilvl="3">
      <w:start w:val="1"/>
      <w:numFmt w:val="bullet"/>
      <w:lvlText w:val=""/>
      <w:lvlJc w:val="left"/>
      <w:pPr>
        <w:tabs>
          <w:tab w:val="num" w:pos="3326"/>
        </w:tabs>
        <w:ind w:left="3326" w:hanging="360"/>
      </w:pPr>
      <w:rPr>
        <w:rFonts w:ascii="Symbol" w:hAnsi="Symbol" w:hint="default"/>
      </w:rPr>
    </w:lvl>
    <w:lvl w:ilvl="4">
      <w:start w:val="1"/>
      <w:numFmt w:val="bullet"/>
      <w:lvlText w:val="o"/>
      <w:lvlJc w:val="left"/>
      <w:pPr>
        <w:tabs>
          <w:tab w:val="num" w:pos="4046"/>
        </w:tabs>
        <w:ind w:left="4046" w:hanging="360"/>
      </w:pPr>
      <w:rPr>
        <w:rFonts w:ascii="Courier New" w:hAnsi="Courier New" w:cs="Symbol" w:hint="default"/>
      </w:rPr>
    </w:lvl>
    <w:lvl w:ilvl="5">
      <w:start w:val="1"/>
      <w:numFmt w:val="bullet"/>
      <w:lvlText w:val=""/>
      <w:lvlJc w:val="left"/>
      <w:pPr>
        <w:tabs>
          <w:tab w:val="num" w:pos="4766"/>
        </w:tabs>
        <w:ind w:left="4766" w:hanging="360"/>
      </w:pPr>
      <w:rPr>
        <w:rFonts w:ascii="Wingdings" w:hAnsi="Wingdings" w:hint="default"/>
      </w:rPr>
    </w:lvl>
    <w:lvl w:ilvl="6">
      <w:start w:val="1"/>
      <w:numFmt w:val="bullet"/>
      <w:lvlText w:val=""/>
      <w:lvlJc w:val="left"/>
      <w:pPr>
        <w:tabs>
          <w:tab w:val="num" w:pos="5486"/>
        </w:tabs>
        <w:ind w:left="5486" w:hanging="360"/>
      </w:pPr>
      <w:rPr>
        <w:rFonts w:ascii="Symbol" w:hAnsi="Symbol" w:hint="default"/>
      </w:rPr>
    </w:lvl>
    <w:lvl w:ilvl="7">
      <w:start w:val="1"/>
      <w:numFmt w:val="bullet"/>
      <w:lvlText w:val="o"/>
      <w:lvlJc w:val="left"/>
      <w:pPr>
        <w:tabs>
          <w:tab w:val="num" w:pos="6206"/>
        </w:tabs>
        <w:ind w:left="6206" w:hanging="360"/>
      </w:pPr>
      <w:rPr>
        <w:rFonts w:ascii="Courier New" w:hAnsi="Courier New" w:cs="Symbol" w:hint="default"/>
      </w:rPr>
    </w:lvl>
    <w:lvl w:ilvl="8">
      <w:start w:val="1"/>
      <w:numFmt w:val="bullet"/>
      <w:lvlText w:val=""/>
      <w:lvlJc w:val="left"/>
      <w:pPr>
        <w:tabs>
          <w:tab w:val="num" w:pos="6926"/>
        </w:tabs>
        <w:ind w:left="6926" w:hanging="360"/>
      </w:pPr>
      <w:rPr>
        <w:rFonts w:ascii="Wingdings" w:hAnsi="Wingdings" w:hint="default"/>
      </w:rPr>
    </w:lvl>
  </w:abstractNum>
  <w:abstractNum w:abstractNumId="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 w15:restartNumberingAfterBreak="0">
    <w:nsid w:val="1A241E51"/>
    <w:multiLevelType w:val="multilevel"/>
    <w:tmpl w:val="97FC17D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CB74922"/>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9" w15:restartNumberingAfterBreak="0">
    <w:nsid w:val="1FB51F0F"/>
    <w:multiLevelType w:val="hybridMultilevel"/>
    <w:tmpl w:val="91CE35E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A76FBC"/>
    <w:multiLevelType w:val="hybridMultilevel"/>
    <w:tmpl w:val="B856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40ED6"/>
    <w:multiLevelType w:val="multilevel"/>
    <w:tmpl w:val="73445736"/>
    <w:lvl w:ilvl="0">
      <w:start w:val="1"/>
      <w:numFmt w:val="bullet"/>
      <w:lvlText w:val=""/>
      <w:lvlJc w:val="left"/>
      <w:pPr>
        <w:tabs>
          <w:tab w:val="num" w:pos="1800"/>
        </w:tabs>
        <w:ind w:left="1800" w:hanging="360"/>
      </w:pPr>
      <w:rPr>
        <w:rFonts w:ascii="Symbol" w:hAnsi="Symbol" w:hint="default"/>
      </w:rPr>
    </w:lvl>
    <w:lvl w:ilvl="1">
      <w:numFmt w:val="none"/>
      <w:lvlText w:val=""/>
      <w:lvlJc w:val="left"/>
      <w:pPr>
        <w:tabs>
          <w:tab w:val="num" w:pos="360"/>
        </w:tabs>
      </w:p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start w:val="1"/>
      <w:numFmt w:val="lowerRoman"/>
      <w:lvlText w:val="%9."/>
      <w:lvlJc w:val="left"/>
      <w:pPr>
        <w:tabs>
          <w:tab w:val="num" w:pos="4680"/>
        </w:tabs>
        <w:ind w:left="4680" w:hanging="360"/>
      </w:pPr>
    </w:lvl>
  </w:abstractNum>
  <w:abstractNum w:abstractNumId="1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4" w15:restartNumberingAfterBreak="0">
    <w:nsid w:val="2ABA652F"/>
    <w:multiLevelType w:val="multilevel"/>
    <w:tmpl w:val="1534C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035EF"/>
    <w:multiLevelType w:val="multilevel"/>
    <w:tmpl w:val="2E7CA8E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numFmt w:val="none"/>
      <w:lvlText w:val=""/>
      <w:lvlJc w:val="left"/>
      <w:pPr>
        <w:tabs>
          <w:tab w:val="num" w:pos="360"/>
        </w:tabs>
      </w:pPr>
    </w:lvl>
    <w:lvl w:ilvl="7">
      <w:numFmt w:val="none"/>
      <w:lvlText w:val=""/>
      <w:lvlJc w:val="left"/>
      <w:pPr>
        <w:tabs>
          <w:tab w:val="num" w:pos="360"/>
        </w:tabs>
      </w:pPr>
    </w:lvl>
    <w:lvl w:ilvl="8">
      <w:start w:val="1"/>
      <w:numFmt w:val="lowerRoman"/>
      <w:lvlText w:val="%9."/>
      <w:lvlJc w:val="left"/>
      <w:pPr>
        <w:tabs>
          <w:tab w:val="num" w:pos="3960"/>
        </w:tabs>
        <w:ind w:left="3960" w:hanging="360"/>
      </w:pPr>
    </w:lvl>
  </w:abstractNum>
  <w:abstractNum w:abstractNumId="16" w15:restartNumberingAfterBreak="0">
    <w:nsid w:val="34C05918"/>
    <w:multiLevelType w:val="multilevel"/>
    <w:tmpl w:val="845A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06CFD"/>
    <w:multiLevelType w:val="multilevel"/>
    <w:tmpl w:val="0E30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9" w15:restartNumberingAfterBreak="0">
    <w:nsid w:val="36EB1690"/>
    <w:multiLevelType w:val="multilevel"/>
    <w:tmpl w:val="B2AE482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1"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BA79B0"/>
    <w:multiLevelType w:val="multilevel"/>
    <w:tmpl w:val="2550B65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numFmt w:val="none"/>
      <w:lvlText w:val=""/>
      <w:lvlJc w:val="left"/>
      <w:pPr>
        <w:tabs>
          <w:tab w:val="num" w:pos="360"/>
        </w:tabs>
      </w:pPr>
    </w:lvl>
  </w:abstractNum>
  <w:abstractNum w:abstractNumId="23" w15:restartNumberingAfterBreak="0">
    <w:nsid w:val="3BE45DE2"/>
    <w:multiLevelType w:val="multilevel"/>
    <w:tmpl w:val="F2F6485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4"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26" w15:restartNumberingAfterBreak="0">
    <w:nsid w:val="457F6441"/>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341A1"/>
    <w:multiLevelType w:val="multilevel"/>
    <w:tmpl w:val="04EABD7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C54FF"/>
    <w:multiLevelType w:val="hybridMultilevel"/>
    <w:tmpl w:val="0D7A50E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31"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32" w15:restartNumberingAfterBreak="0">
    <w:nsid w:val="5DA00390"/>
    <w:multiLevelType w:val="hybridMultilevel"/>
    <w:tmpl w:val="C6B22B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D35BA5"/>
    <w:multiLevelType w:val="multilevel"/>
    <w:tmpl w:val="7CB0F95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lowerRoman"/>
      <w:lvlText w:val="%3)"/>
      <w:lvlJc w:val="left"/>
      <w:pPr>
        <w:tabs>
          <w:tab w:val="num" w:pos="2160"/>
        </w:tabs>
        <w:ind w:left="2160" w:hanging="360"/>
      </w:pPr>
    </w:lvl>
    <w:lvl w:ilvl="3">
      <w:start w:val="1"/>
      <w:numFmt w:val="bullet"/>
      <w:lvlText w:val="o"/>
      <w:lvlJc w:val="left"/>
      <w:pPr>
        <w:tabs>
          <w:tab w:val="num" w:pos="2520"/>
        </w:tabs>
        <w:ind w:left="2520" w:hanging="360"/>
      </w:pPr>
      <w:rPr>
        <w:rFonts w:ascii="Courier New" w:hAnsi="Courier New" w:cs="Courier New" w:hint="default"/>
      </w:rPr>
    </w:lvl>
    <w:lvl w:ilvl="4">
      <w:start w:val="1"/>
      <w:numFmt w:val="lowerLetter"/>
      <w:lvlText w:val="(%5)"/>
      <w:lvlJc w:val="left"/>
      <w:pPr>
        <w:tabs>
          <w:tab w:val="num" w:pos="2880"/>
        </w:tabs>
        <w:ind w:left="2880" w:hanging="360"/>
      </w:pPr>
    </w:lvl>
    <w:lvl w:ilvl="5">
      <w:start w:val="1"/>
      <w:numFmt w:val="lowerRoman"/>
      <w:lvlText w:val="(%6)"/>
      <w:lvlJc w:val="left"/>
      <w:pPr>
        <w:tabs>
          <w:tab w:val="num" w:pos="3240"/>
        </w:tabs>
        <w:ind w:left="3240" w:hanging="360"/>
      </w:pPr>
    </w:lvl>
    <w:lvl w:ilvl="6">
      <w:start w:val="1"/>
      <w:numFmt w:val="decimal"/>
      <w:lvlText w:val="%7."/>
      <w:lvlJc w:val="left"/>
      <w:pPr>
        <w:tabs>
          <w:tab w:val="num" w:pos="3600"/>
        </w:tabs>
        <w:ind w:left="3600" w:hanging="360"/>
      </w:pPr>
    </w:lvl>
    <w:lvl w:ilvl="7">
      <w:numFmt w:val="none"/>
      <w:lvlText w:val=""/>
      <w:lvlJc w:val="left"/>
      <w:pPr>
        <w:tabs>
          <w:tab w:val="num" w:pos="360"/>
        </w:tabs>
      </w:pPr>
    </w:lvl>
    <w:lvl w:ilvl="8">
      <w:start w:val="1"/>
      <w:numFmt w:val="lowerRoman"/>
      <w:lvlText w:val="%9."/>
      <w:lvlJc w:val="left"/>
      <w:pPr>
        <w:tabs>
          <w:tab w:val="num" w:pos="4320"/>
        </w:tabs>
        <w:ind w:left="4320" w:hanging="360"/>
      </w:pPr>
    </w:lvl>
  </w:abstractNum>
  <w:abstractNum w:abstractNumId="3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35" w15:restartNumberingAfterBreak="0">
    <w:nsid w:val="6D3D01A2"/>
    <w:multiLevelType w:val="hybridMultilevel"/>
    <w:tmpl w:val="6CB0FF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40" w15:restartNumberingAfterBreak="0">
    <w:nsid w:val="79477308"/>
    <w:multiLevelType w:val="multilevel"/>
    <w:tmpl w:val="8A70634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7C203AC3"/>
    <w:multiLevelType w:val="hybridMultilevel"/>
    <w:tmpl w:val="2FD8C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853C2F"/>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4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4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45"/>
  </w:num>
  <w:num w:numId="2">
    <w:abstractNumId w:val="0"/>
  </w:num>
  <w:num w:numId="3">
    <w:abstractNumId w:val="3"/>
  </w:num>
  <w:num w:numId="4">
    <w:abstractNumId w:val="44"/>
  </w:num>
  <w:num w:numId="5">
    <w:abstractNumId w:val="30"/>
  </w:num>
  <w:num w:numId="6">
    <w:abstractNumId w:val="7"/>
  </w:num>
  <w:num w:numId="7">
    <w:abstractNumId w:val="43"/>
  </w:num>
  <w:num w:numId="8">
    <w:abstractNumId w:val="21"/>
  </w:num>
  <w:num w:numId="9">
    <w:abstractNumId w:val="39"/>
  </w:num>
  <w:num w:numId="10">
    <w:abstractNumId w:val="13"/>
  </w:num>
  <w:num w:numId="11">
    <w:abstractNumId w:val="36"/>
  </w:num>
  <w:num w:numId="12">
    <w:abstractNumId w:val="38"/>
  </w:num>
  <w:num w:numId="13">
    <w:abstractNumId w:val="34"/>
  </w:num>
  <w:num w:numId="14">
    <w:abstractNumId w:val="37"/>
  </w:num>
  <w:num w:numId="15">
    <w:abstractNumId w:val="10"/>
  </w:num>
  <w:num w:numId="16">
    <w:abstractNumId w:val="31"/>
  </w:num>
  <w:num w:numId="17">
    <w:abstractNumId w:val="24"/>
  </w:num>
  <w:num w:numId="18">
    <w:abstractNumId w:val="25"/>
  </w:num>
  <w:num w:numId="19">
    <w:abstractNumId w:val="5"/>
  </w:num>
  <w:num w:numId="20">
    <w:abstractNumId w:val="28"/>
  </w:num>
  <w:num w:numId="21">
    <w:abstractNumId w:val="32"/>
  </w:num>
  <w:num w:numId="22">
    <w:abstractNumId w:val="42"/>
  </w:num>
  <w:num w:numId="23">
    <w:abstractNumId w:val="4"/>
  </w:num>
  <w:num w:numId="24">
    <w:abstractNumId w:val="1"/>
  </w:num>
  <w:num w:numId="25">
    <w:abstractNumId w:val="22"/>
  </w:num>
  <w:num w:numId="26">
    <w:abstractNumId w:val="15"/>
  </w:num>
  <w:num w:numId="27">
    <w:abstractNumId w:val="12"/>
  </w:num>
  <w:num w:numId="28">
    <w:abstractNumId w:val="9"/>
  </w:num>
  <w:num w:numId="29">
    <w:abstractNumId w:val="29"/>
  </w:num>
  <w:num w:numId="30">
    <w:abstractNumId w:val="40"/>
  </w:num>
  <w:num w:numId="31">
    <w:abstractNumId w:val="6"/>
  </w:num>
  <w:num w:numId="32">
    <w:abstractNumId w:val="27"/>
  </w:num>
  <w:num w:numId="33">
    <w:abstractNumId w:val="33"/>
  </w:num>
  <w:num w:numId="34">
    <w:abstractNumId w:val="19"/>
  </w:num>
  <w:num w:numId="35">
    <w:abstractNumId w:val="8"/>
  </w:num>
  <w:num w:numId="36">
    <w:abstractNumId w:val="23"/>
  </w:num>
  <w:num w:numId="37">
    <w:abstractNumId w:val="11"/>
  </w:num>
  <w:num w:numId="38">
    <w:abstractNumId w:val="41"/>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26"/>
  </w:num>
  <w:num w:numId="42">
    <w:abstractNumId w:val="14"/>
  </w:num>
  <w:num w:numId="43">
    <w:abstractNumId w:val="35"/>
  </w:num>
  <w:num w:numId="44">
    <w:abstractNumId w:val="16"/>
  </w:num>
  <w:num w:numId="45">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14E4F"/>
    <w:rsid w:val="00020664"/>
    <w:rsid w:val="000230A1"/>
    <w:rsid w:val="00026EFD"/>
    <w:rsid w:val="00041A62"/>
    <w:rsid w:val="000421E0"/>
    <w:rsid w:val="00046134"/>
    <w:rsid w:val="000475E2"/>
    <w:rsid w:val="00050F1C"/>
    <w:rsid w:val="00052085"/>
    <w:rsid w:val="00073DC9"/>
    <w:rsid w:val="000757F4"/>
    <w:rsid w:val="00077370"/>
    <w:rsid w:val="00090AD9"/>
    <w:rsid w:val="00090F06"/>
    <w:rsid w:val="00092584"/>
    <w:rsid w:val="00096E89"/>
    <w:rsid w:val="000A3473"/>
    <w:rsid w:val="000B0795"/>
    <w:rsid w:val="000B2078"/>
    <w:rsid w:val="000B59AC"/>
    <w:rsid w:val="000B6942"/>
    <w:rsid w:val="000C7F58"/>
    <w:rsid w:val="000D0245"/>
    <w:rsid w:val="000D0E90"/>
    <w:rsid w:val="000D24EF"/>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3546D"/>
    <w:rsid w:val="002366EC"/>
    <w:rsid w:val="00236DC7"/>
    <w:rsid w:val="002418E5"/>
    <w:rsid w:val="002421FD"/>
    <w:rsid w:val="00246937"/>
    <w:rsid w:val="0026152D"/>
    <w:rsid w:val="002618E8"/>
    <w:rsid w:val="00264489"/>
    <w:rsid w:val="00267F2A"/>
    <w:rsid w:val="00271914"/>
    <w:rsid w:val="00273CFC"/>
    <w:rsid w:val="0027586C"/>
    <w:rsid w:val="00275A99"/>
    <w:rsid w:val="00276048"/>
    <w:rsid w:val="00277AEE"/>
    <w:rsid w:val="0028271D"/>
    <w:rsid w:val="00286B28"/>
    <w:rsid w:val="002952AA"/>
    <w:rsid w:val="002A18AA"/>
    <w:rsid w:val="002A3863"/>
    <w:rsid w:val="002B0568"/>
    <w:rsid w:val="002B3C76"/>
    <w:rsid w:val="002E106E"/>
    <w:rsid w:val="002E3FF3"/>
    <w:rsid w:val="002E599D"/>
    <w:rsid w:val="002E7B0C"/>
    <w:rsid w:val="002F5814"/>
    <w:rsid w:val="0030091A"/>
    <w:rsid w:val="00306F6B"/>
    <w:rsid w:val="003125CC"/>
    <w:rsid w:val="00316C20"/>
    <w:rsid w:val="00324855"/>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253"/>
    <w:rsid w:val="003F3913"/>
    <w:rsid w:val="003F4C26"/>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D0565"/>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8B0"/>
    <w:rsid w:val="005628EC"/>
    <w:rsid w:val="005637F8"/>
    <w:rsid w:val="00574036"/>
    <w:rsid w:val="00575B09"/>
    <w:rsid w:val="00577021"/>
    <w:rsid w:val="00582C53"/>
    <w:rsid w:val="005842AD"/>
    <w:rsid w:val="00586F2A"/>
    <w:rsid w:val="00590206"/>
    <w:rsid w:val="00592248"/>
    <w:rsid w:val="0059345E"/>
    <w:rsid w:val="005941B9"/>
    <w:rsid w:val="0059443E"/>
    <w:rsid w:val="0059545F"/>
    <w:rsid w:val="005A1949"/>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64A"/>
    <w:rsid w:val="0067468A"/>
    <w:rsid w:val="00680721"/>
    <w:rsid w:val="00682775"/>
    <w:rsid w:val="00685FE4"/>
    <w:rsid w:val="0069499D"/>
    <w:rsid w:val="0069541E"/>
    <w:rsid w:val="006A6123"/>
    <w:rsid w:val="006B0471"/>
    <w:rsid w:val="006B24D1"/>
    <w:rsid w:val="006B36D0"/>
    <w:rsid w:val="006B404F"/>
    <w:rsid w:val="006B6278"/>
    <w:rsid w:val="006C6522"/>
    <w:rsid w:val="006D0432"/>
    <w:rsid w:val="006E0331"/>
    <w:rsid w:val="006E0E81"/>
    <w:rsid w:val="006F4A5D"/>
    <w:rsid w:val="006F7021"/>
    <w:rsid w:val="00701B2B"/>
    <w:rsid w:val="00705C65"/>
    <w:rsid w:val="00712599"/>
    <w:rsid w:val="007138F9"/>
    <w:rsid w:val="00715B07"/>
    <w:rsid w:val="00721195"/>
    <w:rsid w:val="0072204A"/>
    <w:rsid w:val="00733893"/>
    <w:rsid w:val="00742794"/>
    <w:rsid w:val="00742B5D"/>
    <w:rsid w:val="007436A7"/>
    <w:rsid w:val="00750526"/>
    <w:rsid w:val="00755081"/>
    <w:rsid w:val="007560E5"/>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13FAE"/>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4947"/>
    <w:rsid w:val="008B6AC6"/>
    <w:rsid w:val="008C04AD"/>
    <w:rsid w:val="008C2B2B"/>
    <w:rsid w:val="008C472E"/>
    <w:rsid w:val="008C7C93"/>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729BB"/>
    <w:rsid w:val="00980DE6"/>
    <w:rsid w:val="00982C4C"/>
    <w:rsid w:val="00983F4D"/>
    <w:rsid w:val="009A3328"/>
    <w:rsid w:val="009B008D"/>
    <w:rsid w:val="009B11F0"/>
    <w:rsid w:val="009B4AC8"/>
    <w:rsid w:val="009C5839"/>
    <w:rsid w:val="009D3103"/>
    <w:rsid w:val="009E00EC"/>
    <w:rsid w:val="00A039B5"/>
    <w:rsid w:val="00A06CF9"/>
    <w:rsid w:val="00A2028A"/>
    <w:rsid w:val="00A447B8"/>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B028C6"/>
    <w:rsid w:val="00B141EB"/>
    <w:rsid w:val="00B15222"/>
    <w:rsid w:val="00B23119"/>
    <w:rsid w:val="00B23E1B"/>
    <w:rsid w:val="00B24B87"/>
    <w:rsid w:val="00B2512C"/>
    <w:rsid w:val="00B32267"/>
    <w:rsid w:val="00B34A23"/>
    <w:rsid w:val="00B36C72"/>
    <w:rsid w:val="00B36CD0"/>
    <w:rsid w:val="00B42DA1"/>
    <w:rsid w:val="00B43A3E"/>
    <w:rsid w:val="00B461BF"/>
    <w:rsid w:val="00B5412B"/>
    <w:rsid w:val="00B618A2"/>
    <w:rsid w:val="00B61BA7"/>
    <w:rsid w:val="00B71129"/>
    <w:rsid w:val="00B7654D"/>
    <w:rsid w:val="00B832F0"/>
    <w:rsid w:val="00B928D1"/>
    <w:rsid w:val="00B92B7A"/>
    <w:rsid w:val="00BA16F9"/>
    <w:rsid w:val="00BA1BBA"/>
    <w:rsid w:val="00BA3FDB"/>
    <w:rsid w:val="00BB362D"/>
    <w:rsid w:val="00BB7BA9"/>
    <w:rsid w:val="00BC338A"/>
    <w:rsid w:val="00BC5C24"/>
    <w:rsid w:val="00BE77BA"/>
    <w:rsid w:val="00BF0856"/>
    <w:rsid w:val="00BF13B0"/>
    <w:rsid w:val="00BF38F3"/>
    <w:rsid w:val="00C10AC4"/>
    <w:rsid w:val="00C14FCC"/>
    <w:rsid w:val="00C1707A"/>
    <w:rsid w:val="00C22A8D"/>
    <w:rsid w:val="00C2328D"/>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784E"/>
    <w:rsid w:val="00D7355D"/>
    <w:rsid w:val="00D84327"/>
    <w:rsid w:val="00D84CFD"/>
    <w:rsid w:val="00D85D71"/>
    <w:rsid w:val="00D923BC"/>
    <w:rsid w:val="00D9748F"/>
    <w:rsid w:val="00DA5379"/>
    <w:rsid w:val="00DA7764"/>
    <w:rsid w:val="00DB1008"/>
    <w:rsid w:val="00DB2ABB"/>
    <w:rsid w:val="00DB4135"/>
    <w:rsid w:val="00DB543C"/>
    <w:rsid w:val="00DB68F3"/>
    <w:rsid w:val="00DB74E0"/>
    <w:rsid w:val="00DC7996"/>
    <w:rsid w:val="00DD2EAE"/>
    <w:rsid w:val="00DD3948"/>
    <w:rsid w:val="00DE316B"/>
    <w:rsid w:val="00DE4540"/>
    <w:rsid w:val="00DE684C"/>
    <w:rsid w:val="00DF01A0"/>
    <w:rsid w:val="00DF2234"/>
    <w:rsid w:val="00E029AA"/>
    <w:rsid w:val="00E02A3C"/>
    <w:rsid w:val="00E10235"/>
    <w:rsid w:val="00E102E1"/>
    <w:rsid w:val="00E13ACB"/>
    <w:rsid w:val="00E1482E"/>
    <w:rsid w:val="00E16F0C"/>
    <w:rsid w:val="00E212BF"/>
    <w:rsid w:val="00E2704A"/>
    <w:rsid w:val="00E351CF"/>
    <w:rsid w:val="00E36917"/>
    <w:rsid w:val="00E40EBA"/>
    <w:rsid w:val="00E42930"/>
    <w:rsid w:val="00E42F8A"/>
    <w:rsid w:val="00E4347C"/>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263D"/>
    <w:rsid w:val="00FB3AC2"/>
    <w:rsid w:val="00FB464B"/>
    <w:rsid w:val="00FB7601"/>
    <w:rsid w:val="00FB7C06"/>
    <w:rsid w:val="00FC10D7"/>
    <w:rsid w:val="00FC152D"/>
    <w:rsid w:val="00FC1D54"/>
    <w:rsid w:val="00FC3249"/>
    <w:rsid w:val="00FC3903"/>
    <w:rsid w:val="00FC587A"/>
    <w:rsid w:val="00FD0555"/>
    <w:rsid w:val="00FD4DE7"/>
    <w:rsid w:val="00FE21F7"/>
    <w:rsid w:val="00FE34AC"/>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ompositesw.com/solutions/data-virtualization/"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81200-8433-4AA1-8917-1EEEA9E5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4718</Words>
  <Characters>26898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31553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cp:revision>
  <cp:lastPrinted>2020-08-20T16:27:00Z</cp:lastPrinted>
  <dcterms:created xsi:type="dcterms:W3CDTF">2017-12-14T18:11:00Z</dcterms:created>
  <dcterms:modified xsi:type="dcterms:W3CDTF">2020-08-20T16:28:00Z</dcterms:modified>
  <cp:category>TIBCO PSG Document Template</cp:category>
</cp:coreProperties>
</file>