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bookmarkEnd w:id="22"/>
    <w:bookmarkStart w:id="31" w:name="co-site"/>
    <w:p>
      <w:pPr>
        <w:pStyle w:val="berschrift1"/>
      </w:pPr>
      <w:r>
        <w:t xml:space="preserve">Co-Site</w:t>
      </w:r>
    </w:p>
    <w:p>
      <w:pPr>
        <w:pStyle w:val="FirstParagraph"/>
      </w:pPr>
    </w:p>
    <w:bookmarkStart w:id="23" w:name="co-site-1"/>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Klartextbeschreibung</w:t>
      </w:r>
    </w:p>
    <w:p>
      <w:pPr>
        <w:pStyle w:val="BodyText"/>
      </w:pPr>
    </w:p>
    <w:p>
      <w:pPr>
        <w:pStyle w:val="BodyText"/>
      </w:pPr>
      <w:r>
        <w:rPr>
          <w:b/>
          <w:bCs/>
        </w:rPr>
        <w:t xml:space="preserve">Akronyme</w:t>
      </w:r>
    </w:p>
    <w:p>
      <w:pPr>
        <w:pStyle w:val="BodyText"/>
      </w:pPr>
    </w:p>
    <w:p>
      <w:pPr>
        <w:pStyle w:val="BodyText"/>
      </w:pPr>
      <w:r>
        <w:rPr>
          <w:b/>
          <w:bCs/>
        </w:rPr>
        <w:t xml:space="preserve">Tags</w:t>
      </w:r>
    </w:p>
    <w:p>
      <w:pPr>
        <w:pStyle w:val="BodyText"/>
      </w:pPr>
      <w:r>
        <w:t xml:space="preserve">Forschungsprojekt</w:t>
      </w: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3"/>
    <w:bookmarkStart w:id="24"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Klartextbeschreibung</w:t>
      </w:r>
    </w:p>
    <w:p>
      <w:pPr>
        <w:pStyle w:val="BodyText"/>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4"/>
    <w:bookmarkStart w:id="2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Klartextbeschreibung</w:t>
      </w:r>
    </w:p>
    <w:p>
      <w:pPr>
        <w:pStyle w:val="BodyText"/>
      </w:pPr>
      <w:r>
        <w:t xml:space="preserve">Ebene der Wissenschaftskommunikation mit dem Ziel der Kommunikation über das Gesamtsystem wissenschaftlicher Funktionen und Leistungen für die Gesellschaft.</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5"/>
    <w:bookmarkStart w:id="26"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Klartextbeschreibung</w:t>
      </w:r>
    </w:p>
    <w:p>
      <w:pPr>
        <w:pStyle w:val="BodyText"/>
      </w:pPr>
      <w:r>
        <w:t xml:space="preserve">Ebene der Wissenschaftskommunikation mit dem Fokus auf die Kommunikation wissenschaftlicher Einrichtungen zu eigenen Aufgaben und Leistungen.</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6"/>
    <w:bookmarkStart w:id="27"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Klartextbeschreibung</w:t>
      </w:r>
    </w:p>
    <w:p>
      <w:pPr>
        <w:pStyle w:val="BodyText"/>
      </w:pPr>
      <w:r>
        <w:t xml:space="preserve">Ebene der Wissenschaftskommunikation mit dem Fokus auf die Kommunikation einzelner Wissenschaftler zu Forschungsthemen sowie Projekten (Vorhaben und Ergebnissen).</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7"/>
    <w:bookmarkStart w:id="28"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8"/>
    <w:bookmarkStart w:id="29"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Klartextbeschreibung</w:t>
      </w:r>
    </w:p>
    <w:p>
      <w:pPr>
        <w:pStyle w:val="BodyText"/>
      </w:pPr>
      <w:r>
        <w:t xml:space="preserve">Gesamtheit des menschlichen Wissens, der Erkenntnisse und der Erfahrungen einer Zeitepoche, welche systematisch erweitert, gesammelt, aufbewahrt, gelehrt und tradiert wird.</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29"/>
    <w:bookmarkStart w:id="30" w:name="sdsdf"/>
    <w:p>
      <w:pPr>
        <w:pStyle w:val="berschrift3"/>
      </w:pPr>
      <w:r>
        <w:t xml:space="preserve">sdsdf</w:t>
      </w:r>
    </w:p>
    <w:p>
      <w:pPr>
        <w:pStyle w:val="FirstParagraph"/>
      </w:pPr>
      <w:r>
        <w:t xml:space="preserve">sdsd</w:t>
      </w:r>
    </w:p>
    <w:p>
      <w:pPr>
        <w:pStyle w:val="BodyText"/>
      </w:pPr>
      <w:r>
        <w:rPr>
          <w:b/>
          <w:bCs/>
        </w:rPr>
        <w:t xml:space="preserve">Klartextbeschreibung</w:t>
      </w:r>
    </w:p>
    <w:p>
      <w:pPr>
        <w:pStyle w:val="BodyText"/>
      </w:pPr>
      <w:r>
        <w:t xml:space="preserve">dsfsdf</w:t>
      </w:r>
    </w:p>
    <w:p>
      <w:pPr>
        <w:pStyle w:val="BodyText"/>
      </w:pPr>
      <w:r>
        <w:rPr>
          <w:b/>
          <w:bCs/>
        </w:rPr>
        <w:t xml:space="preserve">Akronyme</w:t>
      </w:r>
    </w:p>
    <w:p>
      <w:pPr>
        <w:pStyle w:val="BodyText"/>
      </w:pPr>
    </w:p>
    <w:p>
      <w:pPr>
        <w:pStyle w:val="BodyText"/>
      </w:pPr>
      <w:r>
        <w:rPr>
          <w:b/>
          <w:bCs/>
        </w:rPr>
        <w:t xml:space="preserve">Tags</w:t>
      </w:r>
    </w:p>
    <w:p>
      <w:pPr>
        <w:pStyle w:val="BodyText"/>
      </w:pPr>
    </w:p>
    <w:p>
      <w:pPr>
        <w:pStyle w:val="BodyText"/>
      </w:pPr>
      <w:r>
        <w:rPr>
          <w:b/>
          <w:bCs/>
        </w:rPr>
        <w:t xml:space="preserve">Ähnlich</w:t>
      </w:r>
    </w:p>
    <w:p>
      <w:pPr>
        <w:pStyle w:val="BodyText"/>
      </w:pPr>
    </w:p>
    <w:p>
      <w:pPr>
        <w:pStyle w:val="BodyText"/>
      </w:pPr>
      <w:r>
        <w:rPr>
          <w:b/>
          <w:bCs/>
        </w:rPr>
        <w:t xml:space="preserve">Unterklasse von</w:t>
      </w:r>
    </w:p>
    <w:p>
      <w:pPr>
        <w:pStyle w:val="BodyText"/>
      </w:pPr>
    </w:p>
    <w:p>
      <w:pPr>
        <w:pStyle w:val="BodyText"/>
      </w:pPr>
      <w:r>
        <w:rPr>
          <w:b/>
          <w:bCs/>
        </w:rPr>
        <w:t xml:space="preserve">Synonyme</w:t>
      </w:r>
    </w:p>
    <w:p>
      <w:pPr>
        <w:pStyle w:val="BodyText"/>
      </w:pPr>
    </w:p>
    <w:bookmarkEnd w:id="30"/>
    <w:bookmarkEnd w:id="31"/>
    <w:bookmarkStart w:id="38" w:name="impressum"/>
    <w:p>
      <w:pPr>
        <w:pStyle w:val="berschrift1"/>
      </w:pPr>
      <w:r>
        <w:t xml:space="preserve">Impressum</w:t>
      </w:r>
    </w:p>
    <w:bookmarkStart w:id="37"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2">
        <w:r>
          <w:rPr>
            <w:rStyle w:val="Hyperlink"/>
          </w:rPr>
          <w:t xml:space="preserve">https://creativecommons.org/licenses/by-sa/4.0/</w:t>
        </w:r>
      </w:hyperlink>
    </w:p>
    <w:p>
      <w:pPr>
        <w:pStyle w:val="BodyText"/>
      </w:pPr>
      <w:r>
        <w:t xml:space="preserve">Code - © 2024 Die Autor:innen. MIT-Lizenz</w:t>
      </w:r>
      <w:r>
        <w:t xml:space="preserve"> </w:t>
      </w:r>
      <w:hyperlink r:id="rId33">
        <w:r>
          <w:rPr>
            <w:rStyle w:val="Hyperlink"/>
          </w:rPr>
          <w:t xml:space="preserve">https://github.com/TIBHannover/semantic-glosar/blob/master/LICENSE</w:t>
        </w:r>
      </w:hyperlink>
      <w:r>
        <w:t xml:space="preserve"> </w:t>
      </w:r>
      <w:r>
        <w:t xml:space="preserve">| Quelle</w:t>
      </w:r>
      <w:r>
        <w:t xml:space="preserve"> </w:t>
      </w:r>
      <w:hyperlink r:id="rId34">
        <w:r>
          <w:rPr>
            <w:rStyle w:val="Hyperlink"/>
          </w:rPr>
          <w:t xml:space="preserve">https://github.com/TIBHannover/semantic-glosar</w:t>
        </w:r>
      </w:hyperlink>
    </w:p>
    <w:p>
      <w:pPr>
        <w:pStyle w:val="BodyText"/>
      </w:pPr>
      <w:r>
        <w:t xml:space="preserve">Daten - Alle produzierten Daten und Datensätze sind</w:t>
      </w:r>
      <w:r>
        <w:t xml:space="preserve"> </w:t>
      </w:r>
      <w:hyperlink r:id="rId35">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6">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7"/>
    <w:bookmarkEnd w:id="38"/>
    <w:bookmarkStart w:id="40" w:name="mitwirkende"/>
    <w:p>
      <w:pPr>
        <w:pStyle w:val="berschrift1"/>
      </w:pPr>
      <w:r>
        <w:t xml:space="preserve">Mitwirkende</w:t>
      </w:r>
    </w:p>
    <w:bookmarkStart w:id="39" w:name="programmierung"/>
    <w:p>
      <w:pPr>
        <w:pStyle w:val="berschrift2"/>
      </w:pPr>
      <w:r>
        <w:t xml:space="preserve">Programmierung</w:t>
      </w:r>
    </w:p>
    <w:p>
      <w:pPr>
        <w:pStyle w:val="FirstParagraph"/>
      </w:pPr>
      <w:r>
        <w:t xml:space="preserve">Siehe: Software Citation</w:t>
      </w:r>
    </w:p>
    <w:bookmarkEnd w:id="39"/>
    <w:bookmarkEnd w:id="40"/>
    <w:bookmarkStart w:id="41" w:name="literatur"/>
    <w:p>
      <w:pPr>
        <w:pStyle w:val="berschrift1"/>
      </w:pPr>
      <w:r>
        <w:t xml:space="preserve">Literatur</w:t>
      </w:r>
    </w:p>
    <w:bookmarkEnd w:id="4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 Target="https://creativecommons.org/licenses/by-sa/4.0/" TargetMode="External" /><Relationship Type="http://schemas.openxmlformats.org/officeDocument/2006/relationships/hyperlink" Id="rId35" Target="https://creativecommons.org/publicdomain/zero/1.0/" TargetMode="External" /><Relationship Type="http://schemas.openxmlformats.org/officeDocument/2006/relationships/hyperlink" Id="rId34" Target="https://github.com/TIBHannover/semantic-glosar" TargetMode="External" /><Relationship Type="http://schemas.openxmlformats.org/officeDocument/2006/relationships/hyperlink" Id="rId33"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36" Target="https://www.go-fair.org/fair-principles/"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 Target="https://creativecommons.org/licenses/by-sa/4.0/" TargetMode="External" /><Relationship Type="http://schemas.openxmlformats.org/officeDocument/2006/relationships/hyperlink" Id="rId35" Target="https://creativecommons.org/publicdomain/zero/1.0/" TargetMode="External" /><Relationship Type="http://schemas.openxmlformats.org/officeDocument/2006/relationships/hyperlink" Id="rId34" Target="https://github.com/TIBHannover/semantic-glosar" TargetMode="External" /><Relationship Type="http://schemas.openxmlformats.org/officeDocument/2006/relationships/hyperlink" Id="rId33"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36" Target="https://www.go-fair.org/fair-principl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2024-08-06T09:15:47Z</dcterms:created>
  <dcterms:modified xsi:type="dcterms:W3CDTF">2024-08-06T09:15:47Z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