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demo"/>
    <w:p>
      <w:pPr>
        <w:pStyle w:val="berschrift1"/>
      </w:pPr>
      <w:r>
        <w:t xml:space="preserve">Co-Site Demo</w:t>
      </w:r>
    </w:p>
    <w:p>
      <w:pPr>
        <w:pStyle w:val="FirstParagraph"/>
      </w:pPr>
      <w:r>
        <w:t xml:space="preserve">{</w:t>
      </w:r>
      <w:r>
        <w:t xml:space="preserve">‘</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2Each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low confidence</w:t>
      </w:r>
      <w:r>
        <w:t xml:space="preserve">’</w:t>
      </w:r>
      <w:r>
        <w:t xml:space="preserve">,</w:t>
      </w:r>
      <w:r>
        <w:t xml:space="preserve"> </w:t>
      </w:r>
      <w:r>
        <w:t xml:space="preserve">‘</w:t>
      </w:r>
      <w:r>
        <w:t xml:space="preserve">term_low confidence</w:t>
      </w:r>
      <w:r>
        <w:t xml:space="preserve">’</w:t>
      </w:r>
      <w:r>
        <w:t xml:space="preserve">,</w:t>
      </w:r>
      <w:r>
        <w:t xml:space="preserve"> </w:t>
      </w:r>
      <w:r>
        <w:t xml:space="preserve">‘</w:t>
      </w:r>
      <w:r>
        <w:t xml:space="preserve">term_low confidenceee</w:t>
      </w:r>
      <w:r>
        <w:t xml:space="preserve">’</w:t>
      </w:r>
      <w:r>
        <w:t xml:space="preserve">,</w:t>
      </w:r>
      <w:r>
        <w:t xml:space="preserve"> </w:t>
      </w:r>
      <w:r>
        <w:t xml:space="preserve">‘</w:t>
      </w:r>
      <w:r>
        <w:t xml:space="preserve">low confidence2</w:t>
      </w:r>
      <w:r>
        <w:t xml:space="preserve">’</w:t>
      </w:r>
      <w:r>
        <w:t xml:space="preserve">],</w:t>
      </w:r>
      <w:r>
        <w:t xml:space="preserve"> </w:t>
      </w:r>
      <w:r>
        <w:t xml:space="preserve">‘</w:t>
      </w:r>
      <w:r>
        <w:t xml:space="preserve">subcategoryOf</w:t>
      </w:r>
      <w:r>
        <w:t xml:space="preserve">’</w:t>
      </w:r>
      <w:r>
        <w:t xml:space="preserve">: [</w:t>
      </w:r>
      <w:r>
        <w:t xml:space="preserve">‘</w:t>
      </w:r>
      <w:r>
        <w:t xml:space="preserve">qualifiers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baseline/reference</w:t>
      </w:r>
      <w:r>
        <w:t xml:space="preserve">’</w:t>
      </w:r>
      <w:r>
        <w:t xml:space="preserve">,</w:t>
      </w:r>
      <w:r>
        <w:t xml:space="preserve"> </w:t>
      </w:r>
      <w:r>
        <w:t xml:space="preserve">‘</w:t>
      </w:r>
      <w:r>
        <w:t xml:space="preserve">term_baseline/reference</w:t>
      </w:r>
      <w:r>
        <w:t xml:space="preserve">’</w:t>
      </w:r>
      <w:r>
        <w:t xml:space="preserve">],</w:t>
      </w:r>
      <w:r>
        <w:t xml:space="preserve"> </w:t>
      </w:r>
      <w:r>
        <w:t xml:space="preserve">‘</w:t>
      </w:r>
      <w:r>
        <w:t xml:space="preserve">subcategoryOf</w:t>
      </w:r>
      <w:r>
        <w:t xml:space="preserve">’</w:t>
      </w:r>
      <w:r>
        <w:t xml:space="preserve">: [</w:t>
      </w:r>
      <w:r>
        <w:t xml:space="preserve">‘</w:t>
      </w:r>
      <w:r>
        <w:t xml:space="preserve">terms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Atmosphere-Ocean General Circulation Model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AOGCM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Alliance of Small Island States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AOSIS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Asia-Pacific Economic Cooperation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Agricultural Adaptation and Perception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Prudential Regulation Authority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air quality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AQ</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Fourth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AR4</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Fifth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AR5</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Sixth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AR6</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Seventh Assessment Cycle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AR7</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 hypothetical scenario used as a benchmark to assess the impact of potential changes or interventions.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baseline scenario</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 Region of 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African Risk Capacity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Arctic Ocean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ARO</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Peninsula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Research Projects Agency-Energy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ARPA-E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Sea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Article (e.g., of the UNFCCC),</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for Smallholder Agriculture Programme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ASAP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Built Environment Council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ASBEC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Agreement on Subsidies and Countervailing Measures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Berkeley Earth</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Amundsen Sea Embayment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Association of Southeast Asian Nations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ASEAN</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Finance Initiative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ASFI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Avoid-Shift-Improve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available seat kilometres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ASK</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Adaptive Social Protection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Thought Leadership and Assessments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ATLAS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Area under the Curve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assets under management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Auckland Unitary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Organisms living on or in the sea floor, often used to indicate the health of marine ecosystems.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benthic</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Australian–Maritime Continent monsoon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AusMCM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Very High Resolution Radiometer</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AVHRR</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Atlantic Zonal Modes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AZM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best available technology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Business-as-Usual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BAU</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black carbon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border carbon adjustment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Before the Common Era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biological carbon pump</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 </w:t>
      </w:r>
      <w:r>
        <w:t xml:space="preserve">‘</w:t>
      </w:r>
      <w:r>
        <w:t xml:space="preserve">term</w:t>
      </w:r>
      <w:r>
        <w:t xml:space="preserve">’</w:t>
      </w:r>
      <w:r>
        <w:t xml:space="preserve">: [</w:t>
      </w:r>
      <w:r>
        <w:t xml:space="preserve">‘</w:t>
      </w:r>
      <w:r>
        <w:t xml:space="preserve">benthos</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Bangladesh Delta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BDP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Bioenergy with Carbon Dioxide Capture and Storage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BECCS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efficiency standards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BEES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management 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BEMS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begriffe-zum-klimawandel"/>
    <w:p>
      <w:pPr>
        <w:pStyle w:val="berschrift1"/>
      </w:pPr>
      <w:r>
        <w:t xml:space="preserve">Begriffe zum Klimawandel</w:t>
      </w:r>
    </w:p>
    <w:bookmarkStart w:id="28" w:name="epa"/>
    <w:p>
      <w:pPr>
        <w:pStyle w:val="berschrift2"/>
      </w:pPr>
      <w:r>
        <w:t xml:space="preserve">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29" w:name="terms"/>
    <w:p>
      <w:pPr>
        <w:pStyle w:val="berschrift2"/>
      </w:pPr>
      <w:r>
        <w:t xml:space="preserve">Terms</w:t>
      </w:r>
    </w:p>
    <w:bookmarkEnd w:id="29"/>
    <w:bookmarkStart w:id="30" w:name="year-flood-levels"/>
    <w:p>
      <w:pPr>
        <w:pStyle w:val="berschrift2"/>
      </w:pPr>
      <w:r>
        <w:t xml:space="preserve">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Earth System</w:t>
      </w:r>
    </w:p>
    <w:bookmarkEnd w:id="73"/>
    <w:bookmarkStart w:id="74" w:name="eccentricity"/>
    <w:p>
      <w:pPr>
        <w:pStyle w:val="berschrift2"/>
      </w:pPr>
      <w:r>
        <w:t xml:space="preserve">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Energy Efficiency</w:t>
      </w:r>
    </w:p>
    <w:p>
      <w:pPr>
        <w:pStyle w:val="FirstParagraph"/>
      </w:pPr>
      <w:r>
        <w:t xml:space="preserve">Using less energy to provide the same service.</w:t>
      </w:r>
    </w:p>
    <w:bookmarkEnd w:id="79"/>
    <w:bookmarkStart w:id="80" w:name="energy-star"/>
    <w:p>
      <w:pPr>
        <w:pStyle w:val="berschrift2"/>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Inundation</w:t>
      </w:r>
    </w:p>
    <w:p>
      <w:pPr>
        <w:pStyle w:val="FirstParagraph"/>
      </w:pPr>
      <w:r>
        <w:t xml:space="preserve">The submergence of land by water, particularly in a coastal setting.</w:t>
      </w:r>
    </w:p>
    <w:bookmarkEnd w:id="113"/>
    <w:bookmarkStart w:id="114" w:name="landfill"/>
    <w:p>
      <w:pPr>
        <w:pStyle w:val="berschrift2"/>
      </w:pPr>
      <w:r>
        <w:t xml:space="preserve">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Megacities</w:t>
      </w:r>
    </w:p>
    <w:p>
      <w:pPr>
        <w:pStyle w:val="FirstParagraph"/>
      </w:pPr>
      <w:r>
        <w:t xml:space="preserve">Cities with populations over 10 million.</w:t>
      </w:r>
    </w:p>
    <w:bookmarkEnd w:id="118"/>
    <w:bookmarkStart w:id="119" w:name="methane"/>
    <w:p>
      <w:pPr>
        <w:pStyle w:val="berschrift2"/>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Oxidize</w:t>
      </w:r>
    </w:p>
    <w:p>
      <w:pPr>
        <w:pStyle w:val="FirstParagraph"/>
      </w:pPr>
      <w:r>
        <w:t xml:space="preserve">To chemically transform a substance by combining it with oxygen.</w:t>
      </w:r>
    </w:p>
    <w:bookmarkEnd w:id="131"/>
    <w:bookmarkStart w:id="132" w:name="ozone"/>
    <w:p>
      <w:pPr>
        <w:pStyle w:val="berschrift2"/>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PFCs</w:t>
      </w:r>
    </w:p>
    <w:bookmarkEnd w:id="142"/>
    <w:bookmarkStart w:id="143" w:name="phenology"/>
    <w:p>
      <w:pPr>
        <w:pStyle w:val="berschrift2"/>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Snowpack</w:t>
      </w:r>
    </w:p>
    <w:p>
      <w:pPr>
        <w:pStyle w:val="FirstParagraph"/>
      </w:pPr>
      <w:r>
        <w:t xml:space="preserve">A seasonal accumulation of slow-melting snow.</w:t>
      </w:r>
    </w:p>
    <w:bookmarkEnd w:id="162"/>
    <w:bookmarkStart w:id="163" w:name="soil-carbon"/>
    <w:p>
      <w:pPr>
        <w:pStyle w:val="berschrift2"/>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Stratospheric Ozone</w:t>
      </w:r>
    </w:p>
    <w:p>
      <w:pPr>
        <w:pStyle w:val="FirstParagraph"/>
      </w:pPr>
      <w:r>
        <w:t xml:space="preserve">See ozone layer.</w:t>
      </w:r>
    </w:p>
    <w:bookmarkEnd w:id="167"/>
    <w:bookmarkStart w:id="168" w:name="streamflow"/>
    <w:p>
      <w:pPr>
        <w:pStyle w:val="berschrift2"/>
      </w:pPr>
      <w:r>
        <w:t xml:space="preserve">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Teragram</w:t>
      </w:r>
    </w:p>
    <w:p>
      <w:pPr>
        <w:pStyle w:val="FirstParagraph"/>
      </w:pPr>
      <w:r>
        <w:t xml:space="preserve">1 trillion (1012) grams = 1 million (106) metric tons.</w:t>
      </w:r>
    </w:p>
    <w:bookmarkEnd w:id="172"/>
    <w:bookmarkStart w:id="173" w:name="thermal-expansion"/>
    <w:p>
      <w:pPr>
        <w:pStyle w:val="berschrift2"/>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Tropospheric Ozone Precursors</w:t>
      </w:r>
    </w:p>
    <w:p>
      <w:pPr>
        <w:pStyle w:val="FirstParagraph"/>
      </w:pPr>
      <w:r>
        <w:t xml:space="preserve">See ozone precursors.</w:t>
      </w:r>
    </w:p>
    <w:bookmarkEnd w:id="178"/>
    <w:bookmarkStart w:id="179" w:name="tundra"/>
    <w:p>
      <w:pPr>
        <w:pStyle w:val="berschrift2"/>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3" w:name="impressum"/>
    <w:p>
      <w:pPr>
        <w:pStyle w:val="berschrift1"/>
      </w:pPr>
      <w:r>
        <w:t xml:space="preserve">Impressum</w:t>
      </w:r>
    </w:p>
    <w:bookmarkStart w:id="19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 https://github.com/TIBHannover/semantic-glosar/blob/master/LICENSE | Quelle https://github.com/TIBHannover/semantic-glosar</w:t>
      </w:r>
    </w:p>
    <w:p>
      <w:pPr>
        <w:pStyle w:val="BodyText"/>
      </w:pPr>
      <w:r>
        <w:t xml:space="preserve">Daten - Alle produzierten Daten und Datensätze sind</w:t>
      </w:r>
      <w:r>
        <w:t xml:space="preserve"> </w:t>
      </w:r>
      <w:hyperlink r:id="rId19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 https://www.go-fair.org/fair-principles/</w:t>
      </w:r>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2"/>
    <w:bookmarkEnd w:id="193"/>
    <w:bookmarkStart w:id="195" w:name="mitwirkende"/>
    <w:p>
      <w:pPr>
        <w:pStyle w:val="berschrift1"/>
      </w:pPr>
      <w:r>
        <w:t xml:space="preserve">Mitwirkende</w:t>
      </w:r>
    </w:p>
    <w:bookmarkStart w:id="194" w:name="programmierung"/>
    <w:p>
      <w:pPr>
        <w:pStyle w:val="berschrift2"/>
      </w:pPr>
      <w:r>
        <w:t xml:space="preserve">Programmierung</w:t>
      </w:r>
    </w:p>
    <w:p>
      <w:pPr>
        <w:pStyle w:val="FirstParagraph"/>
      </w:pPr>
      <w:r>
        <w:t xml:space="preserve">Siehe: Software Citation</w:t>
      </w:r>
    </w:p>
    <w:bookmarkEnd w:id="194"/>
    <w:bookmarkEnd w:id="195"/>
    <w:bookmarkStart w:id="199" w:name="literatur"/>
    <w:p>
      <w:pPr>
        <w:pStyle w:val="berschrift1"/>
      </w:pPr>
      <w:r>
        <w:t xml:space="preserve">Literatur</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Co-Site</dc:creator>
  <cp:keywords/>
  <dcterms:created xsi:type="dcterms:W3CDTF">2024-07-23T09:55:23Z</dcterms:created>
  <dcterms:modified xsi:type="dcterms:W3CDTF">2024-07-23T09:55:23Z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