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67"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Klartextbeschreibung:</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Practices</w:t>
      </w:r>
    </w:p>
    <w:p>
      <w:r>
        <w:pict>
          <v:rect style="width:0;height:1.5pt" o:hralign="center" o:hrstd="t" o:hr="t"/>
        </w:pict>
      </w:r>
    </w:p>
    <w:bookmarkEnd w:id="24"/>
    <w:bookmarkStart w:id="25"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5"/>
    <w:bookmarkStart w:id="26"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Entwurf</w:t>
      </w:r>
    </w:p>
    <w:p>
      <w:r>
        <w:pict>
          <v:rect style="width:0;height:1.5pt" o:hralign="center" o:hrstd="t" o:hr="t"/>
        </w:pict>
      </w:r>
    </w:p>
    <w:bookmarkEnd w:id="26"/>
    <w:bookmarkStart w:id="27"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27"/>
    <w:bookmarkStart w:id="28"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Klartextbeschreibung:</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Glossar</w:t>
      </w:r>
    </w:p>
    <w:p>
      <w:r>
        <w:pict>
          <v:rect style="width:0;height:1.5pt" o:hralign="center" o:hrstd="t" o:hr="t"/>
        </w:pict>
      </w:r>
    </w:p>
    <w:bookmarkEnd w:id="28"/>
    <w:bookmarkStart w:id="29" w:name="extremereignis"/>
    <w:p>
      <w:pPr>
        <w:pStyle w:val="berschrift3"/>
      </w:pPr>
      <w:r>
        <w:t xml:space="preserve">Extremereignis</w:t>
      </w:r>
    </w:p>
    <w:p>
      <w:pPr>
        <w:pStyle w:val="FirstParagraph"/>
      </w:pPr>
      <w:r>
        <w:t xml:space="preserve">Ein außergewöhnlich starkes Gefahrenereignis, das zu hohen Schäden führen kann (z.B. Hitzewelle, Starkregen oder Blackout)</w:t>
      </w:r>
    </w:p>
    <w:p>
      <w:pPr>
        <w:pStyle w:val="BodyText"/>
      </w:pPr>
      <w:r>
        <w:rPr>
          <w:b/>
          <w:bCs/>
        </w:rPr>
        <w:t xml:space="preserve">Klartextbeschreibung:</w:t>
      </w:r>
    </w:p>
    <w:p>
      <w:pPr>
        <w:pStyle w:val="BodyText"/>
      </w:pPr>
      <w:r>
        <w:t xml:space="preserve">Besonders starke Gefahr oder Schaden</w:t>
      </w:r>
    </w:p>
    <w:p>
      <w:pPr>
        <w:pStyle w:val="BodyText"/>
      </w:pPr>
      <w:r>
        <w:rPr>
          <w:b/>
          <w:bCs/>
        </w:rPr>
        <w:t xml:space="preserve">Status:</w:t>
      </w:r>
    </w:p>
    <w:p>
      <w:pPr>
        <w:pStyle w:val="BodyText"/>
      </w:pPr>
      <w:r>
        <w:t xml:space="preserve">Entwurf</w:t>
      </w:r>
    </w:p>
    <w:p>
      <w:r>
        <w:pict>
          <v:rect style="width:0;height:1.5pt" o:hralign="center" o:hrstd="t" o:hr="t"/>
        </w:pict>
      </w:r>
    </w:p>
    <w:bookmarkEnd w:id="29"/>
    <w:bookmarkStart w:id="3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Klartextbeschreibung:</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30"/>
    <w:bookmarkStart w:id="31" w:name="glossar-1"/>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Unveröffentlicht</w:t>
      </w:r>
    </w:p>
    <w:p>
      <w:r>
        <w:pict>
          <v:rect style="width:0;height:1.5pt" o:hralign="center" o:hrstd="t" o:hr="t"/>
        </w:pict>
      </w:r>
    </w:p>
    <w:bookmarkEnd w:id="31"/>
    <w:bookmarkStart w:id="32" w:name="grüne-infrastrukturen"/>
    <w:p>
      <w:pPr>
        <w:pStyle w:val="berschrift3"/>
      </w:pPr>
      <w:r>
        <w:t xml:space="preserve">Grüne Infrastrukturen</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r>
        <w:pict>
          <v:rect style="width:0;height:1.5pt" o:hralign="center" o:hrstd="t" o:hr="t"/>
        </w:pict>
      </w:r>
    </w:p>
    <w:bookmarkEnd w:id="32"/>
    <w:bookmarkStart w:id="33"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3"/>
    <w:bookmarkStart w:id="34" w:name="kritis-branche"/>
    <w:p>
      <w:pPr>
        <w:pStyle w:val="berschrift3"/>
      </w:pPr>
      <w:r>
        <w:t xml:space="preserve">KRITIS-Branche</w:t>
      </w:r>
    </w:p>
    <w:p>
      <w:pPr>
        <w:pStyle w:val="FirstParagraph"/>
      </w:pPr>
      <w:r>
        <w:t xml:space="preserve">Die Untergliederung der KRITIS-Sektoren.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KRITIS-Sektor</w:t>
      </w:r>
    </w:p>
    <w:p>
      <w:r>
        <w:pict>
          <v:rect style="width:0;height:1.5pt" o:hralign="center" o:hrstd="t" o:hr="t"/>
        </w:pict>
      </w:r>
    </w:p>
    <w:bookmarkEnd w:id="34"/>
    <w:bookmarkStart w:id="35" w:name="kritis-sektor"/>
    <w:p>
      <w:pPr>
        <w:pStyle w:val="berschrift3"/>
      </w:pPr>
      <w:r>
        <w:t xml:space="preserve">KRITIS-Sektor</w:t>
      </w:r>
    </w:p>
    <w:p>
      <w:pPr>
        <w:pStyle w:val="FirstParagraph"/>
      </w:pPr>
      <w:r>
        <w:t xml:space="preserve">Bereich Kritischer Infrastrukturen. (Bundesamt für Bevölkerungsschutz und Katastrophenhilfe, Glossar)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5"/>
    <w:bookmarkStart w:id="36"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Rinaldi, S., J. Peerenboom, and T. Kelly (2001)</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6"/>
    <w:bookmarkStart w:id="37" w:name="klimaanpassung"/>
    <w:p>
      <w:pPr>
        <w:pStyle w:val="berschrift3"/>
      </w:pPr>
      <w:r>
        <w:t xml:space="preserve">Klimaanpassung</w:t>
      </w:r>
    </w:p>
    <w:p>
      <w:pPr>
        <w:pStyle w:val="FirstParagraph"/>
      </w:pPr>
      <w:r>
        <w:t xml:space="preserve">Maßnahmen und Strategien, um die Auswirkungen des Klimawandels abzumildern oder sich an veränderte klimatische Bedingungen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37"/>
    <w:bookmarkStart w:id="38" w:name="kommunikation"/>
    <w:p>
      <w:pPr>
        <w:pStyle w:val="berschrift3"/>
      </w:pPr>
      <w:r>
        <w:t xml:space="preserve">Kommunikation</w:t>
      </w:r>
    </w:p>
    <w:p>
      <w:pPr>
        <w:pStyle w:val="FirstParagraph"/>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Klartextbeschreibung:</w:t>
      </w:r>
    </w:p>
    <w:p>
      <w:pPr>
        <w:pStyle w:val="BodyText"/>
      </w:pPr>
      <w:r>
        <w:t xml:space="preserve">Austausch oder die Übertragung von Informationen, die auf verschiedene Arten (verbal, nonverbal und paraverbal) und auf verschiedenen Wegen (Sprechen, Schreiben) stattfinden kann.</w:t>
      </w:r>
    </w:p>
    <w:p>
      <w:pPr>
        <w:pStyle w:val="BodyText"/>
      </w:pPr>
      <w:r>
        <w:rPr>
          <w:b/>
          <w:bCs/>
        </w:rPr>
        <w:t xml:space="preserve">Status:</w:t>
      </w:r>
    </w:p>
    <w:p>
      <w:pPr>
        <w:pStyle w:val="BodyText"/>
      </w:pPr>
      <w:r>
        <w:t xml:space="preserve">Entwurf</w:t>
      </w:r>
    </w:p>
    <w:p>
      <w:r>
        <w:pict>
          <v:rect style="width:0;height:1.5pt" o:hralign="center" o:hrstd="t" o:hr="t"/>
        </w:pict>
      </w:r>
    </w:p>
    <w:bookmarkEnd w:id="38"/>
    <w:bookmarkStart w:id="39" w:name="krise"/>
    <w:p>
      <w:pPr>
        <w:pStyle w:val="berschrift3"/>
      </w:pPr>
      <w:r>
        <w:t xml:space="preserve">Krise</w:t>
      </w:r>
    </w:p>
    <w:p>
      <w:pPr>
        <w:pStyle w:val="FirstParagraph"/>
      </w:pPr>
      <w:r>
        <w:t xml:space="preserve">Vom Normalzustand abweichende Situation mit dem Potenzial für oder mit bereits eingetretenen → Schäden an → Schutzgütern, die mit der normalen Aufbau- und Ablauforganisation nicht mehr bewältigt werden kann so dass eine → Besondere Aufbauorganisation (BAO) erforderlich ist. (Bundesamt für Bevölkerungsschutz und Katastrophenhilfe, Glossar)</w:t>
      </w:r>
    </w:p>
    <w:p>
      <w:pPr>
        <w:pStyle w:val="BodyText"/>
      </w:pPr>
      <w:r>
        <w:rPr>
          <w:b/>
          <w:bCs/>
        </w:rPr>
        <w:t xml:space="preserve">Klartextbeschreibung:</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39"/>
    <w:bookmarkStart w:id="40"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Klartextbeschreibung:</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1"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Ort</w:t>
      </w:r>
    </w:p>
    <w:p>
      <w:r>
        <w:pict>
          <v:rect style="width:0;height:1.5pt" o:hralign="center" o:hrstd="t" o:hr="t"/>
        </w:pict>
      </w:r>
    </w:p>
    <w:bookmarkEnd w:id="41"/>
    <w:bookmarkStart w:id="42"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r>
        <w:t xml:space="preserve">Wissenschaftskommunikation</w:t>
      </w:r>
    </w:p>
    <w:p>
      <w:r>
        <w:pict>
          <v:rect style="width:0;height:1.5pt" o:hralign="center" o:hrstd="t" o:hr="t"/>
        </w:pict>
      </w:r>
    </w:p>
    <w:bookmarkEnd w:id="42"/>
    <w:bookmarkStart w:id="4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r>
        <w:t xml:space="preserve">Wissenschaftskommunikation</w:t>
      </w:r>
    </w:p>
    <w:p>
      <w:r>
        <w:pict>
          <v:rect style="width:0;height:1.5pt" o:hralign="center" o:hrstd="t" o:hr="t"/>
        </w:pict>
      </w:r>
    </w:p>
    <w:bookmarkEnd w:id="43"/>
    <w:bookmarkStart w:id="44"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r>
        <w:t xml:space="preserve">Wissenschaftskommunikation</w:t>
      </w:r>
    </w:p>
    <w:p>
      <w:r>
        <w:pict>
          <v:rect style="width:0;height:1.5pt" o:hralign="center" o:hrstd="t" o:hr="t"/>
        </w:pict>
      </w:r>
    </w:p>
    <w:bookmarkEnd w:id="44"/>
    <w:bookmarkStart w:id="4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Klartextbeschreibung:</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45"/>
    <w:bookmarkStart w:id="4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Klartextbeschreibung:</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46"/>
    <w:bookmarkStart w:id="47"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r>
        <w:t xml:space="preserve">Projektmarketing</w:t>
      </w:r>
    </w:p>
    <w:p>
      <w:r>
        <w:pict>
          <v:rect style="width:0;height:1.5pt" o:hralign="center" o:hrstd="t" o:hr="t"/>
        </w:pict>
      </w:r>
    </w:p>
    <w:bookmarkEnd w:id="47"/>
    <w:bookmarkStart w:id="48"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r>
        <w:t xml:space="preserve">Projektkommunikation</w:t>
      </w:r>
    </w:p>
    <w:p>
      <w:r>
        <w:pict>
          <v:rect style="width:0;height:1.5pt" o:hralign="center" o:hrstd="t" o:hr="t"/>
        </w:pict>
      </w:r>
    </w:p>
    <w:bookmarkEnd w:id="48"/>
    <w:bookmarkStart w:id="49" w:name="prävention"/>
    <w:p>
      <w:pPr>
        <w:pStyle w:val="berschrift3"/>
      </w:pPr>
      <w:r>
        <w:t xml:space="preserve">Prävention</w:t>
      </w:r>
    </w:p>
    <w:p>
      <w:pPr>
        <w:pStyle w:val="FirstParagraph"/>
      </w:pPr>
      <w:r>
        <w:t xml:space="preserve">Maßnahmen zur Vermeidung von → Schadensereignissen einschl. Gesundheitsgefährdungen.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49"/>
    <w:bookmarkStart w:id="50"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erproben. Der Fokus liegt dabei auf der transdisziplinären Zusammenarbeit und die wissenschaftlichen und sozial verträglichen Lösungen.</w:t>
      </w:r>
    </w:p>
    <w:p>
      <w:pPr>
        <w:pStyle w:val="BodyText"/>
      </w:pPr>
      <w:r>
        <w:rPr>
          <w:b/>
          <w:bCs/>
        </w:rPr>
        <w:t xml:space="preserve">Klartextbeschreibung:</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50"/>
    <w:bookmarkStart w:id="51" w:name="resilienz"/>
    <w:p>
      <w:pPr>
        <w:pStyle w:val="berschrift3"/>
      </w:pPr>
      <w:r>
        <w:t xml:space="preserve">Resilienz</w:t>
      </w:r>
    </w:p>
    <w:p>
      <w:pPr>
        <w:pStyle w:val="FirstParagraph"/>
      </w:pPr>
      <w:r>
        <w:t xml:space="preserve">Fähigkeit von Systemen und Lebewesen, Ereignissen zu widerstehen beziehungsweise sich daran anzupassen und dabei Funktionsfähigkeiten zu erhalten und das Überleben zu sichern.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1"/>
    <w:bookmarkStart w:id="52" w:name="schaden"/>
    <w:p>
      <w:pPr>
        <w:pStyle w:val="berschrift3"/>
      </w:pPr>
      <w:r>
        <w:t xml:space="preserve">Schaden</w:t>
      </w:r>
    </w:p>
    <w:p>
      <w:pPr>
        <w:pStyle w:val="FirstParagraph"/>
      </w:pPr>
      <w:r>
        <w:t xml:space="preserve">Negative Auswirkungen auf ein Schutzgut. Je nach Schutzgut kann der Schaden unterschiedlich ausfallen und sowohl materiell als auch immateriell sein.</w:t>
      </w:r>
    </w:p>
    <w:p>
      <w:pPr>
        <w:pStyle w:val="BodyText"/>
      </w:pPr>
      <w:r>
        <w:rPr>
          <w:b/>
          <w:bCs/>
        </w:rPr>
        <w:t xml:space="preserve">Klartextbeschreibung:</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schutzgut"/>
    <w:p>
      <w:pPr>
        <w:pStyle w:val="berschrift3"/>
      </w:pPr>
      <w:r>
        <w:t xml:space="preserve">Schutzgut</w:t>
      </w:r>
    </w:p>
    <w:p>
      <w:pPr>
        <w:pStyle w:val="FirstParagraph"/>
      </w:pPr>
      <w:r>
        <w:t xml:space="preserve">Alles, was aufgrund seines ideellen oder materiellen Wertes vor Schaden bewahrt werden soll. (Bundesamt für Bevölkerungsschutz und Katastrophenhilfe, Glossar)</w:t>
      </w:r>
    </w:p>
    <w:p>
      <w:pPr>
        <w:pStyle w:val="BodyText"/>
      </w:pPr>
      <w:r>
        <w:rPr>
          <w:b/>
          <w:bCs/>
        </w:rPr>
        <w:t xml:space="preserve">Status:</w:t>
      </w:r>
    </w:p>
    <w:p>
      <w:pPr>
        <w:pStyle w:val="BodyText"/>
      </w:pPr>
      <w:r>
        <w:t xml:space="preserve">Entwurf</w:t>
      </w:r>
    </w:p>
    <w:p>
      <w:r>
        <w:pict>
          <v:rect style="width:0;height:1.5pt" o:hralign="center" o:hrstd="t" o:hr="t"/>
        </w:pict>
      </w:r>
    </w:p>
    <w:bookmarkEnd w:id="53"/>
    <w:bookmarkStart w:id="54"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pPr>
        <w:pStyle w:val="BodyText"/>
      </w:pPr>
      <w:r>
        <w:rPr>
          <w:b/>
          <w:bCs/>
        </w:rPr>
        <w:t xml:space="preserve">Unterbegriff von:</w:t>
      </w:r>
    </w:p>
    <w:p>
      <w:pPr>
        <w:pStyle w:val="BodyText"/>
      </w:pPr>
      <w:r>
        <w:t xml:space="preserve">Grüne Infrastrukturen</w:t>
      </w:r>
    </w:p>
    <w:p>
      <w:r>
        <w:pict>
          <v:rect style="width:0;height:1.5pt" o:hralign="center" o:hrstd="t" o:hr="t"/>
        </w:pict>
      </w:r>
    </w:p>
    <w:bookmarkEnd w:id="54"/>
    <w:bookmarkStart w:id="55"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(Rhein-Erft-Kreis (als Kreis).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5"/>
    <w:bookmarkStart w:id="5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56"/>
    <w:bookmarkStart w:id="57" w:name="transfer"/>
    <w:p>
      <w:pPr>
        <w:pStyle w:val="berschrift3"/>
      </w:pPr>
      <w:r>
        <w:t xml:space="preserve">Transfer</w:t>
      </w:r>
    </w:p>
    <w:p>
      <w:pPr>
        <w:pStyle w:val="FirstParagraph"/>
      </w:pPr>
      <w:r>
        <w:t xml:space="preserve">Anwendung von wissenschaftlichem Wissen in unterschiedlichen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Ähnlich:</w:t>
      </w:r>
    </w:p>
    <w:p>
      <w:pPr>
        <w:pStyle w:val="BodyText"/>
      </w:pPr>
      <w:r>
        <w:t xml:space="preserve">Wissenstransfer</w:t>
      </w:r>
    </w:p>
    <w:p>
      <w:r>
        <w:pict>
          <v:rect style="width:0;height:1.5pt" o:hralign="center" o:hrstd="t" o:hr="t"/>
        </w:pict>
      </w:r>
    </w:p>
    <w:bookmarkEnd w:id="57"/>
    <w:bookmarkStart w:id="58" w:name="transferbeirat"/>
    <w:p>
      <w:pPr>
        <w:pStyle w:val="berschrift3"/>
      </w:pPr>
      <w:r>
        <w:t xml:space="preserve">Transferbeirat</w:t>
      </w:r>
    </w:p>
    <w:p>
      <w:pPr>
        <w:pStyle w:val="FirstParagraph"/>
      </w:pPr>
      <w:r>
        <w:t xml:space="preserve">Der Transferbeirat besteht aus wichtigen Vertreter</w:t>
      </w:r>
      <w:r>
        <w:rPr>
          <w:i/>
          <w:iCs/>
        </w:rPr>
        <w:t xml:space="preserve">innen aus dem Rheinischen Revier und wissenschaftlichen Expert</w:t>
      </w:r>
      <w:r>
        <w:t xml:space="preserve">innen aus der Reallaborpraxis. Er berät die Arbeit im Projekt mit strategischer Expertise zur regionalen Transformation und Strukturwandel und mit Expertise zur Arbeit und Forschung in einem Reallabor. Die Mitglieder kommen regelmäßig zusammen, um die Projektleitung zu beraten.</w:t>
      </w:r>
    </w:p>
    <w:p>
      <w:pPr>
        <w:pStyle w:val="BodyText"/>
      </w:pPr>
      <w:r>
        <w:rPr>
          <w:b/>
          <w:bCs/>
        </w:rPr>
        <w:t xml:space="preserve">Status:</w:t>
      </w:r>
    </w:p>
    <w:p>
      <w:pPr>
        <w:pStyle w:val="BodyText"/>
      </w:pPr>
      <w:r>
        <w:t xml:space="preserve">Entwurf</w:t>
      </w:r>
    </w:p>
    <w:p>
      <w:r>
        <w:pict>
          <v:rect style="width:0;height:1.5pt" o:hralign="center" o:hrstd="t" o:hr="t"/>
        </w:pict>
      </w:r>
    </w:p>
    <w:bookmarkEnd w:id="58"/>
    <w:bookmarkStart w:id="59"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r>
        <w:t xml:space="preserve">Transfer</w:t>
      </w:r>
    </w:p>
    <w:p>
      <w:r>
        <w:pict>
          <v:rect style="width:0;height:1.5pt" o:hralign="center" o:hrstd="t" o:hr="t"/>
        </w:pict>
      </w:r>
    </w:p>
    <w:bookmarkEnd w:id="59"/>
    <w:bookmarkStart w:id="60"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r>
        <w:t xml:space="preserve">Transfer</w:t>
      </w:r>
    </w:p>
    <w:p>
      <w:r>
        <w:pict>
          <v:rect style="width:0;height:1.5pt" o:hralign="center" o:hrstd="t" o:hr="t"/>
        </w:pict>
      </w:r>
    </w:p>
    <w:bookmarkEnd w:id="60"/>
    <w:bookmarkStart w:id="61"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r>
        <w:t xml:space="preserve">Transfer</w:t>
      </w:r>
    </w:p>
    <w:p>
      <w:r>
        <w:pict>
          <v:rect style="width:0;height:1.5pt" o:hralign="center" o:hrstd="t" o:hr="t"/>
        </w:pict>
      </w:r>
    </w:p>
    <w:bookmarkEnd w:id="61"/>
    <w:bookmarkStart w:id="62"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63"/>
    <w:bookmarkStart w:id="64" w:name="wissenschaftskommunikation"/>
    <w:p>
      <w:pPr>
        <w:pStyle w:val="berschrift3"/>
      </w:pPr>
      <w:r>
        <w:t xml:space="preserve">Wissenschaftskommunikation</w:t>
      </w:r>
    </w:p>
    <w:p>
      <w:pPr>
        <w:pStyle w:val="FirstParagraph"/>
      </w:pPr>
      <w:r>
        <w:t xml:space="preserve">Wissenschaftskommunikation umfasst alle Aspekte der Kommunikation von und über wissenschaftlichen Arbeitens, wissenschaftlicher Aktivitäten und wissenschaftlicher Ergebnisse, sowohl innerhalb der Wissenschaft als auch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64"/>
    <w:bookmarkStart w:id="65"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65"/>
    <w:bookmarkStart w:id="66"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bookmarkEnd w:id="66"/>
    <w:bookmarkEnd w:id="67"/>
    <w:bookmarkStart w:id="74" w:name="impressum"/>
    <w:p>
      <w:pPr>
        <w:pStyle w:val="berschrift1"/>
      </w:pPr>
      <w:r>
        <w:t xml:space="preserve">Impressum</w:t>
      </w:r>
    </w:p>
    <w:bookmarkStart w:id="7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68">
        <w:r>
          <w:rPr>
            <w:rStyle w:val="Hyperlink"/>
          </w:rPr>
          <w:t xml:space="preserve">https://creativecommons.org/licenses/by-sa/4.0/</w:t>
        </w:r>
      </w:hyperlink>
    </w:p>
    <w:p>
      <w:pPr>
        <w:pStyle w:val="BodyText"/>
      </w:pPr>
      <w:r>
        <w:t xml:space="preserve">Code - © 2024 Die Autor:innen. MIT-Lizenz</w:t>
      </w:r>
      <w:r>
        <w:t xml:space="preserve"> </w:t>
      </w:r>
      <w:hyperlink r:id="rId69">
        <w:r>
          <w:rPr>
            <w:rStyle w:val="Hyperlink"/>
          </w:rPr>
          <w:t xml:space="preserve">https://github.com/TIBHannover/semantic-glosar/blob/master/LICENSE</w:t>
        </w:r>
      </w:hyperlink>
      <w:r>
        <w:t xml:space="preserve"> </w:t>
      </w:r>
      <w:r>
        <w:t xml:space="preserve">| Quelle</w:t>
      </w:r>
      <w:r>
        <w:t xml:space="preserve"> </w:t>
      </w:r>
      <w:hyperlink r:id="rId70">
        <w:r>
          <w:rPr>
            <w:rStyle w:val="Hyperlink"/>
          </w:rPr>
          <w:t xml:space="preserve">https://github.com/TIBHannover/semantic-glosar</w:t>
        </w:r>
      </w:hyperlink>
    </w:p>
    <w:p>
      <w:pPr>
        <w:pStyle w:val="BodyText"/>
      </w:pPr>
      <w:r>
        <w:t xml:space="preserve">Daten - Alle produzierten Daten und Datensätze sind</w:t>
      </w:r>
      <w:r>
        <w:t xml:space="preserve"> </w:t>
      </w:r>
      <w:hyperlink r:id="rId7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7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73"/>
    <w:bookmarkEnd w:id="74"/>
    <w:bookmarkStart w:id="76" w:name="mitwirkende"/>
    <w:p>
      <w:pPr>
        <w:pStyle w:val="berschrift1"/>
      </w:pPr>
      <w:r>
        <w:t xml:space="preserve">Mitwirkende</w:t>
      </w:r>
    </w:p>
    <w:bookmarkStart w:id="75" w:name="programmierung"/>
    <w:p>
      <w:pPr>
        <w:pStyle w:val="berschrift2"/>
      </w:pPr>
      <w:r>
        <w:t xml:space="preserve">Programmierung</w:t>
      </w:r>
    </w:p>
    <w:p>
      <w:pPr>
        <w:pStyle w:val="FirstParagraph"/>
      </w:pPr>
      <w:r>
        <w:t xml:space="preserve">Siehe: Software Citation</w:t>
      </w:r>
    </w:p>
    <w:bookmarkEnd w:id="75"/>
    <w:bookmarkEnd w:id="76"/>
    <w:bookmarkStart w:id="77" w:name="literatur"/>
    <w:p>
      <w:pPr>
        <w:pStyle w:val="berschrift1"/>
      </w:pPr>
      <w:r>
        <w:t xml:space="preserve">Literatur</w:t>
      </w:r>
    </w:p>
    <w:bookmarkEnd w:id="77"/>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68" Target="https://creativecommons.org/licenses/by-sa/4.0/" TargetMode="External" /><Relationship Type="http://schemas.openxmlformats.org/officeDocument/2006/relationships/hyperlink" Id="rId71" Target="https://creativecommons.org/publicdomain/zero/1.0/" TargetMode="External" /><Relationship Type="http://schemas.openxmlformats.org/officeDocument/2006/relationships/hyperlink" Id="rId70" Target="https://github.com/TIBHannover/semantic-glosar" TargetMode="External" /><Relationship Type="http://schemas.openxmlformats.org/officeDocument/2006/relationships/hyperlink" Id="rId69" Target="https://github.com/TIBHannover/semantic-glosar/blob/master/LICENSE" TargetMode="External" /><Relationship Type="http://schemas.openxmlformats.org/officeDocument/2006/relationships/hyperlink" Id="rId72"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68" Target="https://creativecommons.org/licenses/by-sa/4.0/" TargetMode="External" /><Relationship Type="http://schemas.openxmlformats.org/officeDocument/2006/relationships/hyperlink" Id="rId71" Target="https://creativecommons.org/publicdomain/zero/1.0/" TargetMode="External" /><Relationship Type="http://schemas.openxmlformats.org/officeDocument/2006/relationships/hyperlink" Id="rId70" Target="https://github.com/TIBHannover/semantic-glosar" TargetMode="External" /><Relationship Type="http://schemas.openxmlformats.org/officeDocument/2006/relationships/hyperlink" Id="rId69" Target="https://github.com/TIBHannover/semantic-glosar/blob/master/LICENSE" TargetMode="External" /><Relationship Type="http://schemas.openxmlformats.org/officeDocument/2006/relationships/hyperlink" Id="rId72"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2024-08-19T11:02:40Z</dcterms:created>
  <dcterms:modified xsi:type="dcterms:W3CDTF">2024-08-19T11:02:40Z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