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 des Projekts Co-Kreation in der Region – Systemisch und innovativ Transfer entwickeln</w:t>
      </w:r>
    </w:p>
    <w:p>
      <w:pPr>
        <w:pStyle w:val="Subtitle"/>
      </w:pPr>
      <w:r>
        <w:t xml:space="preserve">(Co-Site)</w:t>
      </w:r>
    </w:p>
    <w:p>
      <w:pPr>
        <w:pStyle w:val="Date"/>
      </w:pPr>
      <w:r>
        <w:t xml:space="preserve">17. Dezember 2024, 14:02:16</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69"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Die Agenda 2030 ist ein internationales Abkommen, in dem ökonomische, ökologische und soziale Ziele (Sustainable Development Goals) im Sinne einer nachhaltigen Entwicklung angestrebt werden.</w:t>
      </w:r>
    </w:p>
    <w:p>
      <w:pPr>
        <w:pStyle w:val="BodyText"/>
      </w:pPr>
      <w:r>
        <w:rPr>
          <w:b/>
          <w:bCs/>
        </w:rPr>
        <w:t xml:space="preserve">Verwandt:</w:t>
      </w:r>
      <w:r>
        <w:rPr>
          <w:b/>
          <w:bCs/>
        </w:rPr>
        <w:t xml:space="preserve"> </w:t>
      </w:r>
      <w:r>
        <w:rPr>
          <w:b/>
          <w:bCs/>
        </w:rPr>
        <w:t xml:space="preserve"> </w:t>
      </w:r>
      <w:r>
        <w:t xml:space="preserve"> </w:t>
      </w:r>
      <w:hyperlink w:anchor="sdg">
        <w:r>
          <w:rPr>
            <w:rStyle w:val="Hyperlink"/>
          </w:rPr>
          <w:t xml:space="preserve">SDG</w:t>
        </w:r>
      </w:hyperlink>
      <w:r>
        <w:t xml:space="preserve">,</w:t>
      </w:r>
      <w:r>
        <w:t xml:space="preserve"> </w:t>
      </w:r>
      <w:hyperlink w:anchor="sozial-ökologische-transformation">
        <w:r>
          <w:rPr>
            <w:rStyle w:val="Hyperlink"/>
          </w:rPr>
          <w:t xml:space="preserve">Sozial-ökologische Transformation</w:t>
        </w:r>
      </w:hyperlink>
      <w:r>
        <w:t xml:space="preserve">,</w:t>
      </w:r>
      <w:r>
        <w:t xml:space="preserve"> </w:t>
      </w:r>
      <w:hyperlink w:anchor="sustainable-development-goals">
        <w:r>
          <w:rPr>
            <w:rStyle w:val="Hyperlink"/>
          </w:rPr>
          <w:t xml:space="preserve">Sustainable Development Goals</w:t>
        </w:r>
      </w:hyperlink>
      <w:r>
        <w:t xml:space="preserve"> </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Eine Analyse der Beziehungen der Interessens- und Anspruchsgruppen. Sie dient zur Erfassung relevanter Akteur:innen und kann als Arbeitsgrundlage zur Einbindung dieser unterstützen.</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r>
        <w:pict>
          <v:rect style="width:0;height:1.5pt" o:hralign="center" o:hrstd="t" o:hr="t"/>
        </w:pict>
      </w:r>
    </w:p>
    <w:bookmarkEnd w:id="30"/>
    <w:bookmarkStart w:id="31"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r>
        <w:pict>
          <v:rect style="width:0;height:1.5pt" o:hralign="center" o:hrstd="t" o:hr="t"/>
        </w:pict>
      </w:r>
    </w:p>
    <w:bookmarkEnd w:id="31"/>
    <w:bookmarkStart w:id="32"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r>
        <w:pict>
          <v:rect style="width:0;height:1.5pt" o:hralign="center" o:hrstd="t" o:hr="t"/>
        </w:pict>
      </w:r>
    </w:p>
    <w:bookmarkEnd w:id="32"/>
    <w:bookmarkStart w:id="33" w:name="ar-brille"/>
    <w:p>
      <w:pPr>
        <w:pStyle w:val="berschrift3"/>
      </w:pPr>
      <w:r>
        <w:t xml:space="preserve">AR-Brille</w:t>
      </w:r>
    </w:p>
    <w:p>
      <w:pPr>
        <w:pStyle w:val="FirstParagraph"/>
      </w:pPr>
      <w:r>
        <w:t xml:space="preserve">Eine AR-Brille (Augmented Reality-Brille) ist ein tragbares Gerät (Head-Mounted Display),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33"/>
    <w:bookmarkStart w:id="34" w:name="augmented-reality"/>
    <w:p>
      <w:pPr>
        <w:pStyle w:val="berschrift3"/>
      </w:pPr>
      <w:r>
        <w:t xml:space="preserve">Augmented Reality</w:t>
      </w:r>
    </w:p>
    <w:p>
      <w:pPr>
        <w:pStyle w:val="FirstParagraph"/>
      </w:pPr>
      <w:r>
        <w:rPr>
          <w:b/>
          <w:bCs/>
        </w:rPr>
        <w:t xml:space="preserve">(AR)</w:t>
      </w:r>
    </w:p>
    <w:p>
      <w:pPr>
        <w:pStyle w:val="BodyText"/>
      </w:pPr>
      <w:r>
        <w:t xml:space="preserve">Augmented Reality (dt. augmentierte Realität, auch erweiterte Realität genannt) bezeichnet virtuelle Inhalte, wie starre oder bewegte Objekte, die mit der realen Umgebung überlagert werden. Diese überlagerten Zusatzinformationen werden in Echtzeit von Geräten wie Smartphones, Tablets oder speziellen AR-Brillen bereitgestellt und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r>
        <w:pict>
          <v:rect style="width:0;height:1.5pt" o:hralign="center" o:hrstd="t" o:hr="t"/>
        </w:pict>
      </w:r>
    </w:p>
    <w:bookmarkEnd w:id="34"/>
    <w:bookmarkStart w:id="35"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r>
        <w:pict>
          <v:rect style="width:0;height:1.5pt" o:hralign="center" o:hrstd="t" o:hr="t"/>
        </w:pict>
      </w:r>
    </w:p>
    <w:bookmarkEnd w:id="35"/>
    <w:bookmarkStart w:id="36"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ganzheitlich orientiertes Konzept zur Messung, Dokumentation und Steuerung der Aktivitäten einer Organisation in Bezug auf ihre Vision und Strategie. Sie kombiniert Indikatoren aus verschiedenen Perspektiven und fördert dadurch die Transparenz sowie die strategische Ausrichtung der Organisation.</w:t>
      </w:r>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r>
        <w:pict>
          <v:rect style="width:0;height:1.5pt" o:hralign="center" o:hrstd="t" o:hr="t"/>
        </w:pict>
      </w:r>
    </w:p>
    <w:bookmarkEnd w:id="37"/>
    <w:bookmarkStart w:id="38" w:name="begleitforschung"/>
    <w:p>
      <w:pPr>
        <w:pStyle w:val="berschrift3"/>
      </w:pPr>
      <w:r>
        <w:t xml:space="preserve">Begleitforschung</w:t>
      </w:r>
    </w:p>
    <w:p>
      <w:pPr>
        <w:pStyle w:val="FirstParagraph"/>
      </w:pPr>
      <w:r>
        <w:t xml:space="preserve">Ein 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r>
        <w:pict>
          <v:rect style="width:0;height:1.5pt" o:hralign="center" o:hrstd="t" o:hr="t"/>
        </w:pict>
      </w:r>
    </w:p>
    <w:bookmarkEnd w:id="38"/>
    <w:bookmarkStart w:id="3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r>
        <w:pict>
          <v:rect style="width:0;height:1.5pt" o:hralign="center" o:hrstd="t" o:hr="t"/>
        </w:pict>
      </w:r>
    </w:p>
    <w:bookmarkEnd w:id="39"/>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r>
        <w:pict>
          <v:rect style="width:0;height:1.5pt" o:hralign="center" o:hrstd="t" o:hr="t"/>
        </w:pict>
      </w:r>
    </w:p>
    <w:bookmarkEnd w:id="42"/>
    <w:bookmarkStart w:id="43" w:name="bewältigungskapazität"/>
    <w:p>
      <w:pPr>
        <w:pStyle w:val="berschrift3"/>
      </w:pPr>
      <w:r>
        <w:t xml:space="preserve">Bewältigungskapazität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r>
        <w:pict>
          <v:rect style="width:0;height:1.5pt" o:hralign="center" o:hrstd="t" o:hr="t"/>
        </w:pict>
      </w:r>
    </w:p>
    <w:bookmarkEnd w:id="43"/>
    <w:bookmarkStart w:id="44"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es ermöglicht, die Auswirkungen des eigenen Handelns auf die Welt zu verstehen. Sie berücksichtigt dabei explizit planetare Grenzen.</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44"/>
    <w:bookmarkStart w:id="45" w:name="blackout"/>
    <w:p>
      <w:pPr>
        <w:pStyle w:val="berschrift3"/>
      </w:pPr>
      <w:r>
        <w:t xml:space="preserve">Blackout</w:t>
      </w:r>
    </w:p>
    <w:p>
      <w:pPr>
        <w:pStyle w:val="FirstParagraph"/>
      </w:pPr>
      <w:r>
        <w:t xml:space="preserve">Ungeplanter, großflächiger und langanhaltender Stromausfall.</w:t>
      </w:r>
    </w:p>
    <w:p>
      <w:r>
        <w:pict>
          <v:rect style="width:0;height:1.5pt" o:hralign="center" o:hrstd="t" o:hr="t"/>
        </w:pict>
      </w:r>
    </w:p>
    <w:bookmarkEnd w:id="45"/>
    <w:bookmarkStart w:id="46" w:name="blaue-infrastruktur"/>
    <w:p>
      <w:pPr>
        <w:pStyle w:val="berschrift3"/>
      </w:pPr>
      <w:r>
        <w:t xml:space="preserve">Blaue Infrastruktur</w:t>
      </w:r>
    </w:p>
    <w:p>
      <w:pPr>
        <w:pStyle w:val="FirstParagraph"/>
      </w:pPr>
      <w:r>
        <w:t xml:space="preserve">Netzwerk aus wassergeprägten Elementen, die eine Vielzahl von ökologischen, sozialen und wirtschaftlichen Funktionen bereitstellen. Strategisch werden diese z.B. zur Bewältigung von Problemen im Wasserkreislauf (z.B. Wasseraufbereitung, Dürren, Regenwasserbewirtschaftung) angelegt. Natürliche Systeme sind u.a. Seen oder Flüsse; geplante Systeme umfassen Retentionsflächen, oder Flussrenaturierungen</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r>
        <w:pict>
          <v:rect style="width:0;height:1.5pt" o:hralign="center" o:hrstd="t" o:hr="t"/>
        </w:pict>
      </w:r>
    </w:p>
    <w:bookmarkEnd w:id="46"/>
    <w:bookmarkStart w:id="47"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r>
        <w:pict>
          <v:rect style="width:0;height:1.5pt" o:hralign="center" o:hrstd="t" o:hr="t"/>
        </w:pict>
      </w:r>
    </w:p>
    <w:bookmarkEnd w:id="47"/>
    <w:bookmarkStart w:id="48" w:name="change-agents"/>
    <w:p>
      <w:pPr>
        <w:pStyle w:val="berschrift3"/>
      </w:pPr>
      <w:r>
        <w:t xml:space="preserve">Change Agents</w:t>
      </w:r>
    </w:p>
    <w:p>
      <w:pPr>
        <w:pStyle w:val="FirstParagraph"/>
      </w:pPr>
      <w:r>
        <w:t xml:space="preserve">Personen(-gruppen), die aktiv Veränderungen im Wirkungsbereich des Reallabors initiieren oder bestehende Prozesse hinterfragen und als Vorreiter:innen und Transformationsbeschleuniger:innen für Stakeholder des Reallabors fungieren</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 </w:t>
      </w:r>
    </w:p>
    <w:p>
      <w:r>
        <w:pict>
          <v:rect style="width:0;height:1.5pt" o:hralign="center" o:hrstd="t" o:hr="t"/>
        </w:pict>
      </w:r>
    </w:p>
    <w:bookmarkEnd w:id="48"/>
    <w:bookmarkStart w:id="49"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Gestaltung und Umsetzung von Wissenschaft durch Bürger:innen.</w:t>
      </w:r>
    </w:p>
    <w:p>
      <w:r>
        <w:pict>
          <v:rect style="width:0;height:1.5pt" o:hralign="center" o:hrstd="t" o:hr="t"/>
        </w:pict>
      </w:r>
    </w:p>
    <w:bookmarkEnd w:id="49"/>
    <w:bookmarkStart w:id="50"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50"/>
    <w:bookmarkStart w:id="51" w:name="co-kreation"/>
    <w:p>
      <w:pPr>
        <w:pStyle w:val="berschrift3"/>
      </w:pPr>
      <w:r>
        <w:t xml:space="preserve">Co-Kreation</w:t>
      </w:r>
    </w:p>
    <w:p>
      <w:pPr>
        <w:pStyle w:val="FirstParagraph"/>
      </w:pPr>
      <w:r>
        <w:t xml:space="preserve">Gemeinschaftliche Gestaltung eines End- oder Zwischenprodukts unter Einbezug verschiedener Interessensgruppen</w:t>
      </w:r>
    </w:p>
    <w:p>
      <w:r>
        <w:pict>
          <v:rect style="width:0;height:1.5pt" o:hralign="center" o:hrstd="t" o:hr="t"/>
        </w:pict>
      </w:r>
    </w:p>
    <w:bookmarkEnd w:id="51"/>
    <w:bookmarkStart w:id="52"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r>
        <w:pict>
          <v:rect style="width:0;height:1.5pt" o:hralign="center" o:hrstd="t" o:hr="t"/>
        </w:pict>
      </w:r>
    </w:p>
    <w:bookmarkEnd w:id="52"/>
    <w:bookmarkStart w:id="53"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r>
        <w:pict>
          <v:rect style="width:0;height:1.5pt" o:hralign="center" o:hrstd="t" o:hr="t"/>
        </w:pict>
      </w:r>
    </w:p>
    <w:bookmarkEnd w:id="53"/>
    <w:bookmarkStart w:id="54"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r>
        <w:pict>
          <v:rect style="width:0;height:1.5pt" o:hralign="center" o:hrstd="t" o:hr="t"/>
        </w:pict>
      </w:r>
    </w:p>
    <w:bookmarkEnd w:id="54"/>
    <w:bookmarkStart w:id="55" w:name="co-site"/>
    <w:p>
      <w:pPr>
        <w:pStyle w:val="berschrift3"/>
      </w:pPr>
      <w:r>
        <w:t xml:space="preserve">Co-Site</w:t>
      </w:r>
    </w:p>
    <w:p>
      <w:pPr>
        <w:pStyle w:val="FirstParagraph"/>
      </w:pPr>
      <w:r>
        <w:t xml:space="preserve">Forschungsprojekt</w:t>
      </w:r>
      <w:r>
        <w:t xml:space="preserve"> </w:t>
      </w:r>
      <w:r>
        <w:t xml:space="preserve">“Co-Kreation in der Region – Systematisch und innovativ Transfer entwickeln”</w:t>
      </w:r>
      <w:r>
        <w:t xml:space="preserve"> </w:t>
      </w:r>
      <w:r>
        <w:t xml:space="preserve">(Co-Site) der TH Köln, das vom Bundesministerium für Bildung und Forschung (BMBF) innerhalb der Initiative Innovative Hochschule gefördert wird</w:t>
      </w:r>
    </w:p>
    <w:p>
      <w:r>
        <w:pict>
          <v:rect style="width:0;height:1.5pt" o:hralign="center" o:hrstd="t" o:hr="t"/>
        </w:pict>
      </w:r>
    </w:p>
    <w:bookmarkEnd w:id="55"/>
    <w:bookmarkStart w:id="56" w:name="co-site-glossar-1"/>
    <w:p>
      <w:pPr>
        <w:pStyle w:val="berschrift3"/>
      </w:pPr>
      <w:r>
        <w:t xml:space="preserve">Co-Site-Glossar</w:t>
      </w:r>
    </w:p>
    <w:p>
      <w:pPr>
        <w:pStyle w:val="FirstParagraph"/>
      </w:pPr>
      <w:r>
        <w:t xml:space="preserve">Das Glossar des Projekts Co-Site erläutert und beschreibt zentrale Begriffe und Konzepte, die im Kontext des Projekts verwendet werden, für alle Beteiligten verständlich. Es stellt die Basis für eine gemeinsame Kommunikation und Verständigung innerhalb des Projektes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r>
        <w:pict>
          <v:rect style="width:0;height:1.5pt" o:hralign="center" o:hrstd="t" o:hr="t"/>
        </w:pict>
      </w:r>
    </w:p>
    <w:bookmarkEnd w:id="56"/>
    <w:bookmarkStart w:id="57"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Verwandt:</w:t>
      </w:r>
      <w:r>
        <w:rPr>
          <w:b/>
          <w:bCs/>
        </w:rPr>
        <w:t xml:space="preserve"> </w:t>
      </w:r>
      <w:r>
        <w:rPr>
          <w:b/>
          <w:bCs/>
        </w:rPr>
        <w:t xml:space="preserve"> </w:t>
      </w:r>
      <w:r>
        <w:t xml:space="preserve"> </w:t>
      </w:r>
      <w:hyperlink w:anchor="extensive-dachbegrünung">
        <w:r>
          <w:rPr>
            <w:rStyle w:val="Hyperlink"/>
          </w:rPr>
          <w:t xml:space="preserve">Extensive Dachbegrünung</w:t>
        </w:r>
      </w:hyperlink>
      <w:r>
        <w:t xml:space="preserve">,</w:t>
      </w:r>
      <w:r>
        <w:t xml:space="preserve"> </w:t>
      </w:r>
      <w:hyperlink w:anchor="intensive-dachbegrünung">
        <w:r>
          <w:rPr>
            <w:rStyle w:val="Hyperlink"/>
          </w:rPr>
          <w:t xml:space="preserve">Intensive Dachbegrünung</w:t>
        </w:r>
      </w:hyperlink>
      <w:r>
        <w:t xml:space="preserve"> </w:t>
      </w:r>
    </w:p>
    <w:p>
      <w:r>
        <w:pict>
          <v:rect style="width:0;height:1.5pt" o:hralign="center" o:hrstd="t" o:hr="t"/>
        </w:pict>
      </w:r>
    </w:p>
    <w:bookmarkEnd w:id="57"/>
    <w:bookmarkStart w:id="58"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r>
        <w:pict>
          <v:rect style="width:0;height:1.5pt" o:hralign="center" o:hrstd="t" o:hr="t"/>
        </w:pict>
      </w:r>
    </w:p>
    <w:bookmarkEnd w:id="58"/>
    <w:bookmarkStart w:id="59"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r>
        <w:pict>
          <v:rect style="width:0;height:1.5pt" o:hralign="center" o:hrstd="t" o:hr="t"/>
        </w:pict>
      </w:r>
    </w:p>
    <w:bookmarkEnd w:id="59"/>
    <w:bookmarkStart w:id="60"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r>
        <w:pict>
          <v:rect style="width:0;height:1.5pt" o:hralign="center" o:hrstd="t" o:hr="t"/>
        </w:pict>
      </w:r>
    </w:p>
    <w:bookmarkEnd w:id="60"/>
    <w:bookmarkStart w:id="61"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r>
        <w:pict>
          <v:rect style="width:0;height:1.5pt" o:hralign="center" o:hrstd="t" o:hr="t"/>
        </w:pict>
      </w:r>
    </w:p>
    <w:bookmarkEnd w:id="61"/>
    <w:bookmarkStart w:id="62"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r>
        <w:pict>
          <v:rect style="width:0;height:1.5pt" o:hralign="center" o:hrstd="t" o:hr="t"/>
        </w:pict>
      </w:r>
    </w:p>
    <w:bookmarkEnd w:id="62"/>
    <w:bookmarkStart w:id="63" w:name="dezentrale-regenwasserversickerung"/>
    <w:p>
      <w:pPr>
        <w:pStyle w:val="berschrift3"/>
      </w:pPr>
      <w:r>
        <w:t xml:space="preserve">Dezentrale Regenwasserversickerung</w:t>
      </w:r>
    </w:p>
    <w:p>
      <w:pPr>
        <w:pStyle w:val="FirstParagraph"/>
      </w:pPr>
      <w:r>
        <w:t xml:space="preserve">Versickerung von anfallendem Niederschlagswasser direkt vor Ort. Das Wasser verbleibt auf dem Grundstück. Dies dient dem Erhalt des natürlichen Wasserkreislaufs sowie der Entlastung des Kanalnetzes und der Kläranlagen.</w:t>
      </w:r>
    </w:p>
    <w:p>
      <w:r>
        <w:pict>
          <v:rect style="width:0;height:1.5pt" o:hralign="center" o:hrstd="t" o:hr="t"/>
        </w:pict>
      </w:r>
    </w:p>
    <w:bookmarkEnd w:id="63"/>
    <w:bookmarkStart w:id="64" w:name="dialoggruppe"/>
    <w:p>
      <w:pPr>
        <w:pStyle w:val="berschrift3"/>
      </w:pPr>
      <w:r>
        <w:t xml:space="preserve">Dialoggruppe</w:t>
      </w:r>
    </w:p>
    <w:p>
      <w:pPr>
        <w:pStyle w:val="FirstParagraph"/>
      </w:pPr>
      <w:r>
        <w:t xml:space="preserve">Eine Gruppe von Personen, die von den Maßnahmen des Reallabors angesprochen und durch Kommunikation und co-kreative Formate in den Entwicklungsprozess eingebunden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r>
        <w:pict>
          <v:rect style="width:0;height:1.5pt" o:hralign="center" o:hrstd="t" o:hr="t"/>
        </w:pict>
      </w:r>
    </w:p>
    <w:bookmarkEnd w:id="64"/>
    <w:bookmarkStart w:id="65"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r>
        <w:pict>
          <v:rect style="width:0;height:1.5pt" o:hralign="center" o:hrstd="t" o:hr="t"/>
        </w:pict>
      </w:r>
    </w:p>
    <w:bookmarkEnd w:id="65"/>
    <w:bookmarkStart w:id="66" w:name="digitaler-zwilling"/>
    <w:p>
      <w:pPr>
        <w:pStyle w:val="berschrift3"/>
      </w:pPr>
      <w:r>
        <w:t xml:space="preserve">Digitaler Zwilling</w:t>
      </w:r>
    </w:p>
    <w:p>
      <w:pPr>
        <w:pStyle w:val="FirstParagraph"/>
      </w:pPr>
      <w:r>
        <w:t xml:space="preserve">Ein Digitaler Zwilling ist ein virtuelles Modell eines physischen Objekts oder Systems, welches dessen Merkmale und Verhalten wie bspw. physikalische Eigenschaften zumeist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r>
        <w:pict>
          <v:rect style="width:0;height:1.5pt" o:hralign="center" o:hrstd="t" o:hr="t"/>
        </w:pict>
      </w:r>
    </w:p>
    <w:bookmarkEnd w:id="66"/>
    <w:bookmarkStart w:id="67"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Man unterscheidet meteorologische (v.a. Niederschlag), landwirtschaftliche (v.a. Bodenfeuchtigkeit), hydrologische (v.a. auf Abfluss) und sozio-ökonomische Dürren (v.a Auswirkung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r>
        <w:pict>
          <v:rect style="width:0;height:1.5pt" o:hralign="center" o:hrstd="t" o:hr="t"/>
        </w:pict>
      </w:r>
    </w:p>
    <w:bookmarkEnd w:id="67"/>
    <w:bookmarkStart w:id="68" w:name="dürreindex"/>
    <w:p>
      <w:pPr>
        <w:pStyle w:val="berschrift3"/>
      </w:pPr>
      <w:r>
        <w:t xml:space="preserve">Dürreindex</w:t>
      </w:r>
    </w:p>
    <w:p>
      <w:pPr>
        <w:pStyle w:val="FirstParagraph"/>
      </w:pPr>
      <w:r>
        <w:t xml:space="preserve">Wert, der Niederschlagsmangel eines Aggregationszeitraumes im Vergleich zum beobachteten Defiziten eines Referenzzeitraumes bewertet. Er gibt Ausmaß, Dauer und Intensität von Dürrebedingungen an. Dürreindizes basieren meist auf Niederschlags-, Verdunstungs-, und Bodenfeuchtigkeitsdaten einer Region z.B. Standardized Precipitation Evaporation Index (SPEI) oder Palmer Drought Severity Index (PDSI)</w:t>
      </w:r>
    </w:p>
    <w:p>
      <w:r>
        <w:pict>
          <v:rect style="width:0;height:1.5pt" o:hralign="center" o:hrstd="t" o:hr="t"/>
        </w:pict>
      </w:r>
    </w:p>
    <w:bookmarkEnd w:id="68"/>
    <w:bookmarkStart w:id="69"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r>
        <w:pict>
          <v:rect style="width:0;height:1.5pt" o:hralign="center" o:hrstd="t" o:hr="t"/>
        </w:pict>
      </w:r>
    </w:p>
    <w:bookmarkEnd w:id="69"/>
    <w:bookmarkStart w:id="70"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Es nutzt oft agile Methoden zur Organisation und kontinuierlichen Verbesserung seines Arbeitsauftrags und seiner Zusammenarbeit.</w:t>
      </w:r>
    </w:p>
    <w:p>
      <w:r>
        <w:pict>
          <v:rect style="width:0;height:1.5pt" o:hralign="center" o:hrstd="t" o:hr="t"/>
        </w:pict>
      </w:r>
    </w:p>
    <w:bookmarkEnd w:id="70"/>
    <w:bookmarkStart w:id="71" w:name="erweiterte-realität"/>
    <w:p>
      <w:pPr>
        <w:pStyle w:val="berschrift3"/>
      </w:pPr>
      <w:r>
        <w:t xml:space="preserve">Erweiterte Realität</w:t>
      </w:r>
    </w:p>
    <w:p>
      <w:pPr>
        <w:pStyle w:val="FirstParagraph"/>
      </w:pPr>
      <w:r>
        <w:t xml:space="preserve">Siehe Augmented Reality</w:t>
      </w:r>
    </w:p>
    <w:p>
      <w:r>
        <w:pict>
          <v:rect style="width:0;height:1.5pt" o:hralign="center" o:hrstd="t" o:hr="t"/>
        </w:pict>
      </w:r>
    </w:p>
    <w:bookmarkEnd w:id="71"/>
    <w:bookmarkStart w:id="72"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r>
        <w:pict>
          <v:rect style="width:0;height:1.5pt" o:hralign="center" o:hrstd="t" o:hr="t"/>
        </w:pict>
      </w:r>
    </w:p>
    <w:bookmarkEnd w:id="72"/>
    <w:bookmarkStart w:id="73"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Oberflächengewässern und Böden sowie der Transpiration durch vorallem Vegetation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r>
        <w:pict>
          <v:rect style="width:0;height:1.5pt" o:hralign="center" o:hrstd="t" o:hr="t"/>
        </w:pict>
      </w:r>
    </w:p>
    <w:bookmarkEnd w:id="73"/>
    <w:bookmarkStart w:id="74"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r>
        <w:pict>
          <v:rect style="width:0;height:1.5pt" o:hralign="center" o:hrstd="t" o:hr="t"/>
        </w:pict>
      </w:r>
    </w:p>
    <w:bookmarkEnd w:id="74"/>
    <w:bookmarkStart w:id="75" w:name="exposition"/>
    <w:p>
      <w:pPr>
        <w:pStyle w:val="berschrift3"/>
      </w:pPr>
      <w:r>
        <w:t xml:space="preserve">Exposition</w:t>
      </w:r>
    </w:p>
    <w:p>
      <w:pPr>
        <w:pStyle w:val="FirstParagraph"/>
      </w:pPr>
      <w:r>
        <w:t xml:space="preserve">Exposition beschreibt ob und wie stark eine Person, eine Stadt, ein Gebäude, sonstige Infrastruktur oder ein Ökosytsem gegenüber seinen Umgebungseinflüssen, z. B. einer Gefahr, ausgesetzt ist. Eine hohe Exposition begünstigt das Risiko.</w:t>
      </w:r>
    </w:p>
    <w:p>
      <w:r>
        <w:pict>
          <v:rect style="width:0;height:1.5pt" o:hralign="center" o:hrstd="t" o:hr="t"/>
        </w:pict>
      </w:r>
    </w:p>
    <w:bookmarkEnd w:id="75"/>
    <w:bookmarkStart w:id="76" w:name="extended-reality"/>
    <w:p>
      <w:pPr>
        <w:pStyle w:val="berschrift3"/>
      </w:pPr>
      <w:r>
        <w:t xml:space="preserve">Extended Reality</w:t>
      </w:r>
    </w:p>
    <w:p>
      <w:pPr>
        <w:pStyle w:val="FirstParagraph"/>
      </w:pPr>
      <w:r>
        <w:rPr>
          <w:b/>
          <w:bCs/>
        </w:rPr>
        <w:t xml:space="preserve">(XR)</w:t>
      </w:r>
    </w:p>
    <w:p>
      <w:pPr>
        <w:pStyle w:val="BodyText"/>
      </w:pPr>
      <w:r>
        <w:t xml:space="preserve">Extended Reality umfasst alle Technologien, die die reale mit der digitalen Welt verschmelzen, einschließlich der folgenden: VR - Virtuelle Realität, AR - Erweiterte Realität, MR - Gemischte Realität.</w:t>
      </w:r>
    </w:p>
    <w:p>
      <w:r>
        <w:pict>
          <v:rect style="width:0;height:1.5pt" o:hralign="center" o:hrstd="t" o:hr="t"/>
        </w:pict>
      </w:r>
    </w:p>
    <w:bookmarkEnd w:id="76"/>
    <w:bookmarkStart w:id="77" w:name="extensive-dachbegrünung"/>
    <w:p>
      <w:pPr>
        <w:pStyle w:val="berschrift3"/>
      </w:pPr>
      <w:r>
        <w:t xml:space="preserve">Extensive Dachbegrünung</w:t>
      </w:r>
    </w:p>
    <w:p>
      <w:pPr>
        <w:pStyle w:val="FirstParagraph"/>
      </w:pPr>
      <w:r>
        <w:t xml:space="preserve">Extensive Dachbegrünung bezeichnet eine pflegeleichte Form der Begrünung von Dachflächen. Dabei wird eine dünne Substratschicht (5-15 cm) verwendet und die Dächer werden mit robusten, trockenheitsresistenten Pflanzen wie Sedum oder Kräutern bepflanzt. Extensive Dachbegrünung trägt zur Verbesserung des Mikroklimas, zur Reduzierung von Regenwasserabfluss und zur Förderung der Biodiversität bei.</w:t>
      </w:r>
    </w:p>
    <w:p>
      <w:pPr>
        <w:pStyle w:val="BodyText"/>
      </w:pPr>
      <w:r>
        <w:rPr>
          <w:b/>
          <w:bCs/>
        </w:rPr>
        <w:t xml:space="preserve">Verwandt:</w:t>
      </w:r>
      <w:r>
        <w:rPr>
          <w:b/>
          <w:bCs/>
        </w:rPr>
        <w:t xml:space="preserve"> </w:t>
      </w:r>
      <w:r>
        <w:rPr>
          <w:b/>
          <w:bCs/>
        </w:rPr>
        <w:t xml:space="preserve"> </w:t>
      </w:r>
      <w:r>
        <w:t xml:space="preserve"> </w:t>
      </w:r>
      <w:hyperlink w:anchor="dachbegrünung">
        <w:r>
          <w:rPr>
            <w:rStyle w:val="Hyperlink"/>
          </w:rPr>
          <w:t xml:space="preserve">Dachbegrünung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dachbegrünung">
        <w:r>
          <w:rPr>
            <w:rStyle w:val="Hyperlink"/>
          </w:rPr>
          <w:t xml:space="preserve">Dachbegrünung</w:t>
        </w:r>
      </w:hyperlink>
      <w:r>
        <w:t xml:space="preserve"> </w:t>
      </w:r>
    </w:p>
    <w:p>
      <w:r>
        <w:pict>
          <v:rect style="width:0;height:1.5pt" o:hralign="center" o:hrstd="t" o:hr="t"/>
        </w:pict>
      </w:r>
    </w:p>
    <w:bookmarkEnd w:id="77"/>
    <w:bookmarkStart w:id="78"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gesellschaftlichen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r>
        <w:pict>
          <v:rect style="width:0;height:1.5pt" o:hralign="center" o:hrstd="t" o:hr="t"/>
        </w:pict>
      </w:r>
    </w:p>
    <w:bookmarkEnd w:id="78"/>
    <w:bookmarkStart w:id="79"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 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r>
        <w:pict>
          <v:rect style="width:0;height:1.5pt" o:hralign="center" o:hrstd="t" o:hr="t"/>
        </w:pict>
      </w:r>
    </w:p>
    <w:bookmarkEnd w:id="79"/>
    <w:bookmarkStart w:id="80"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beispielsweise in VR-Systemen verwendet werden, um das System an die Blickrichtung anzupassen und eine natürlichere Interaktion zu ermöglichen sowie um Messdaten zu sammeln.</w:t>
      </w:r>
    </w:p>
    <w:p>
      <w:r>
        <w:pict>
          <v:rect style="width:0;height:1.5pt" o:hralign="center" o:hrstd="t" o:hr="t"/>
        </w:pict>
      </w:r>
    </w:p>
    <w:bookmarkEnd w:id="80"/>
    <w:bookmarkStart w:id="81"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r>
        <w:pict>
          <v:rect style="width:0;height:1.5pt" o:hralign="center" o:hrstd="t" o:hr="t"/>
        </w:pict>
      </w:r>
    </w:p>
    <w:bookmarkEnd w:id="81"/>
    <w:bookmarkStart w:id="82"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r>
        <w:pict>
          <v:rect style="width:0;height:1.5pt" o:hralign="center" o:hrstd="t" o:hr="t"/>
        </w:pict>
      </w:r>
    </w:p>
    <w:bookmarkEnd w:id="82"/>
    <w:bookmarkStart w:id="83"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r>
        <w:pict>
          <v:rect style="width:0;height:1.5pt" o:hralign="center" o:hrstd="t" o:hr="t"/>
        </w:pict>
      </w:r>
    </w:p>
    <w:bookmarkEnd w:id="83"/>
    <w:bookmarkStart w:id="84" w:name="fluviale-überflutung"/>
    <w:p>
      <w:pPr>
        <w:pStyle w:val="berschrift3"/>
      </w:pPr>
      <w:r>
        <w:t xml:space="preserve">Fluviale Überflutung</w:t>
      </w:r>
    </w:p>
    <w:p>
      <w:pPr>
        <w:pStyle w:val="FirstParagraph"/>
      </w:pPr>
      <w:r>
        <w:t xml:space="preserve">Gewässerzustand, bei dem der Wasserstand deutlich über dem normalen Pegelstand liegt und über die Ufer tritt. Überschwemmungen sind die Folge.</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r>
        <w:pict>
          <v:rect style="width:0;height:1.5pt" o:hralign="center" o:hrstd="t" o:hr="t"/>
        </w:pict>
      </w:r>
    </w:p>
    <w:bookmarkEnd w:id="84"/>
    <w:bookmarkStart w:id="85" w:name="formative-evaluation"/>
    <w:p>
      <w:pPr>
        <w:pStyle w:val="berschrift3"/>
      </w:pPr>
      <w:r>
        <w:t xml:space="preserve">Formative Evaluation</w:t>
      </w:r>
    </w:p>
    <w:p>
      <w:pPr>
        <w:pStyle w:val="FirstParagraph"/>
      </w:pPr>
      <w:r>
        <w:t xml:space="preserve">Formative Evaluation findet prozessbegleitend statt und ist wichtiger Bestandteil der Projektumsetzung. Durch den kontinuierlichen Vergleich aktueller Entwicklungen mit der ursprünglichen Zielsetzung ermöglicht sie die frühzeitige Entdeckung von Fehlentwicklungen und damit die Anpassungsfähigkeit an (veränderte) Bedarfe. Wird auch als Synonym für Begleitforschung und Wirkungsmonitoring genutzt.</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r>
        <w:pict>
          <v:rect style="width:0;height:1.5pt" o:hralign="center" o:hrstd="t" o:hr="t"/>
        </w:pict>
      </w:r>
    </w:p>
    <w:bookmarkEnd w:id="85"/>
    <w:bookmarkStart w:id="86"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r>
        <w:pict>
          <v:rect style="width:0;height:1.5pt" o:hralign="center" o:hrstd="t" o:hr="t"/>
        </w:pict>
      </w:r>
    </w:p>
    <w:bookmarkEnd w:id="86"/>
    <w:bookmarkStart w:id="87"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r>
        <w:pict>
          <v:rect style="width:0;height:1.5pt" o:hralign="center" o:hrstd="t" o:hr="t"/>
        </w:pict>
      </w:r>
    </w:p>
    <w:bookmarkEnd w:id="87"/>
    <w:bookmarkStart w:id="88"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Neues anzugehen, Veränderungen zu bewirken, neue Lösungen zu entwickeln.</w:t>
      </w:r>
    </w:p>
    <w:p>
      <w:r>
        <w:pict>
          <v:rect style="width:0;height:1.5pt" o:hralign="center" o:hrstd="t" o:hr="t"/>
        </w:pict>
      </w:r>
    </w:p>
    <w:bookmarkEnd w:id="88"/>
    <w:bookmarkStart w:id="89" w:name="game-based-learning"/>
    <w:p>
      <w:pPr>
        <w:pStyle w:val="berschrift3"/>
      </w:pPr>
      <w:r>
        <w:t xml:space="preserve">Game-Based Learning</w:t>
      </w:r>
    </w:p>
    <w:p>
      <w:pPr>
        <w:pStyle w:val="FirstParagraph"/>
      </w:pPr>
      <w:r>
        <w:rPr>
          <w:b/>
          <w:bCs/>
        </w:rPr>
        <w:t xml:space="preserve">(GBL)</w:t>
      </w:r>
    </w:p>
    <w:p>
      <w:pPr>
        <w:pStyle w:val="BodyText"/>
      </w:pPr>
      <w:r>
        <w:t xml:space="preserve">Game-Based Learning (dt. spielebasiertes Lernen) steht für das Lernen mit Spielen, sowohl mit Lernspielen als auch mit „normalen“ Spielen. Durch interaktive Elemente können komplexe Themen auf spielerische Weise verständlich gemacht werden. GBL fördert die aktive Teilnahme und kann in verschiedenen Bildungskontexten, von Schulen bis zur beruflichen Weiterbildung, eingesetzt werden.</w:t>
      </w:r>
    </w:p>
    <w:p>
      <w:r>
        <w:pict>
          <v:rect style="width:0;height:1.5pt" o:hralign="center" o:hrstd="t" o:hr="t"/>
        </w:pict>
      </w:r>
    </w:p>
    <w:bookmarkEnd w:id="89"/>
    <w:bookmarkStart w:id="90"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 Dabei können Elemente wie Punktesysteme, Belohnungen oder Ranglisten eingesetzt werden.</w:t>
      </w:r>
    </w:p>
    <w:p>
      <w:r>
        <w:pict>
          <v:rect style="width:0;height:1.5pt" o:hralign="center" o:hrstd="t" o:hr="t"/>
        </w:pict>
      </w:r>
    </w:p>
    <w:bookmarkEnd w:id="90"/>
    <w:bookmarkStart w:id="91" w:name="gefahr"/>
    <w:p>
      <w:pPr>
        <w:pStyle w:val="berschrift3"/>
      </w:pPr>
      <w:r>
        <w:t xml:space="preserve">Gefahr</w:t>
      </w:r>
    </w:p>
    <w:p>
      <w:pPr>
        <w:pStyle w:val="FirstParagraph"/>
      </w:pPr>
      <w:r>
        <w:t xml:space="preserve">Zustand, Umstand oder Vorgang, durch dessen Einwirkung ein Schaden an einem Schutzgut entstehen kann.</w:t>
      </w:r>
    </w:p>
    <w:p>
      <w:r>
        <w:pict>
          <v:rect style="width:0;height:1.5pt" o:hralign="center" o:hrstd="t" o:hr="t"/>
        </w:pict>
      </w:r>
    </w:p>
    <w:bookmarkEnd w:id="91"/>
    <w:bookmarkStart w:id="92"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die Vulerabilität oder Schaden von Menschen, Sachgütern und Umwelt zu verhindern oder zu minimieren.</w:t>
      </w:r>
    </w:p>
    <w:p>
      <w:r>
        <w:pict>
          <v:rect style="width:0;height:1.5pt" o:hralign="center" o:hrstd="t" o:hr="t"/>
        </w:pict>
      </w:r>
    </w:p>
    <w:bookmarkEnd w:id="92"/>
    <w:bookmarkStart w:id="93" w:name="gefahrenereignis"/>
    <w:p>
      <w:pPr>
        <w:pStyle w:val="berschrift3"/>
      </w:pPr>
      <w:r>
        <w:t xml:space="preserve">Gefahrenereignis</w:t>
      </w:r>
    </w:p>
    <w:p>
      <w:pPr>
        <w:pStyle w:val="FirstParagraph"/>
      </w:pPr>
      <w:r>
        <w:t xml:space="preserve">Ein spezifisches, plötzlich eintretendes Ereignis, das die latente Gefahr tatsächlich realisiert und zu schädlichen Folgen führt.</w:t>
      </w:r>
    </w:p>
    <w:p>
      <w:r>
        <w:pict>
          <v:rect style="width:0;height:1.5pt" o:hralign="center" o:hrstd="t" o:hr="t"/>
        </w:pict>
      </w:r>
    </w:p>
    <w:bookmarkEnd w:id="93"/>
    <w:bookmarkStart w:id="94"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r>
        <w:pict>
          <v:rect style="width:0;height:1.5pt" o:hralign="center" o:hrstd="t" o:hr="t"/>
        </w:pict>
      </w:r>
    </w:p>
    <w:bookmarkEnd w:id="94"/>
    <w:bookmarkStart w:id="95"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z.B.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r>
        <w:pict>
          <v:rect style="width:0;height:1.5pt" o:hralign="center" o:hrstd="t" o:hr="t"/>
        </w:pict>
      </w:r>
    </w:p>
    <w:bookmarkEnd w:id="95"/>
    <w:bookmarkStart w:id="96" w:name="geodaten"/>
    <w:p>
      <w:pPr>
        <w:pStyle w:val="berschrift3"/>
      </w:pPr>
      <w:r>
        <w:t xml:space="preserve">Geodaten</w:t>
      </w:r>
    </w:p>
    <w:p>
      <w:pPr>
        <w:pStyle w:val="FirstParagraph"/>
      </w:pPr>
      <w:r>
        <w:t xml:space="preserve">Alle Daten mit direkten oder indirekten Bezug zu einem bestimmten Standort auf der Erdoberfläche.</w:t>
      </w:r>
    </w:p>
    <w:p>
      <w:r>
        <w:pict>
          <v:rect style="width:0;height:1.5pt" o:hralign="center" o:hrstd="t" o:hr="t"/>
        </w:pict>
      </w:r>
    </w:p>
    <w:bookmarkEnd w:id="96"/>
    <w:bookmarkStart w:id="97" w:name="geodatenbank"/>
    <w:p>
      <w:pPr>
        <w:pStyle w:val="berschrift3"/>
      </w:pPr>
      <w:r>
        <w:t xml:space="preserve">Geodatenbank</w:t>
      </w:r>
    </w:p>
    <w:p>
      <w:pPr>
        <w:pStyle w:val="FirstParagraph"/>
      </w:pPr>
      <w:r>
        <w:t xml:space="preserve">Eine Datenbank, die das Speichern, Abfragen und Analysieren von Geodaten (Punkt, Linie, Polygon) ermöglicht.</w:t>
      </w:r>
    </w:p>
    <w:p>
      <w:r>
        <w:pict>
          <v:rect style="width:0;height:1.5pt" o:hralign="center" o:hrstd="t" o:hr="t"/>
        </w:pict>
      </w:r>
    </w:p>
    <w:bookmarkEnd w:id="97"/>
    <w:bookmarkStart w:id="98" w:name="geodatendienste"/>
    <w:p>
      <w:pPr>
        <w:pStyle w:val="berschrift3"/>
      </w:pPr>
      <w:r>
        <w:t xml:space="preserve">Geodatendienste</w:t>
      </w:r>
    </w:p>
    <w:p>
      <w:pPr>
        <w:pStyle w:val="FirstParagraph"/>
      </w:pPr>
      <w:r>
        <w:t xml:space="preserve">Dienste, die den Zugang zu und die Verarbeitung von Geodaten über das Netz ermöglichen.</w:t>
      </w:r>
    </w:p>
    <w:p>
      <w:r>
        <w:pict>
          <v:rect style="width:0;height:1.5pt" o:hralign="center" o:hrstd="t" o:hr="t"/>
        </w:pict>
      </w:r>
    </w:p>
    <w:bookmarkEnd w:id="98"/>
    <w:bookmarkStart w:id="99"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r>
        <w:pict>
          <v:rect style="width:0;height:1.5pt" o:hralign="center" o:hrstd="t" o:hr="t"/>
        </w:pict>
      </w:r>
    </w:p>
    <w:bookmarkEnd w:id="99"/>
    <w:bookmarkStart w:id="100"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r>
        <w:pict>
          <v:rect style="width:0;height:1.5pt" o:hralign="center" o:hrstd="t" o:hr="t"/>
        </w:pict>
      </w:r>
    </w:p>
    <w:bookmarkEnd w:id="100"/>
    <w:bookmarkStart w:id="101" w:name="geodatensatz"/>
    <w:p>
      <w:pPr>
        <w:pStyle w:val="berschrift3"/>
      </w:pPr>
      <w:r>
        <w:t xml:space="preserve">Geodatensatz</w:t>
      </w:r>
    </w:p>
    <w:p>
      <w:pPr>
        <w:pStyle w:val="FirstParagraph"/>
      </w:pPr>
      <w:r>
        <w:t xml:space="preserve">eine Sammlung von Daten, die verwandten geografischen Merkmalen entsprechen</w:t>
      </w:r>
    </w:p>
    <w:p>
      <w:r>
        <w:pict>
          <v:rect style="width:0;height:1.5pt" o:hralign="center" o:hrstd="t" o:hr="t"/>
        </w:pict>
      </w:r>
    </w:p>
    <w:bookmarkEnd w:id="101"/>
    <w:bookmarkStart w:id="102"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r>
        <w:pict>
          <v:rect style="width:0;height:1.5pt" o:hralign="center" o:hrstd="t" o:hr="t"/>
        </w:pict>
      </w:r>
    </w:p>
    <w:bookmarkEnd w:id="102"/>
    <w:bookmarkStart w:id="103"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r>
        <w:pict>
          <v:rect style="width:0;height:1.5pt" o:hralign="center" o:hrstd="t" o:hr="t"/>
        </w:pict>
      </w:r>
    </w:p>
    <w:bookmarkEnd w:id="103"/>
    <w:bookmarkStart w:id="104"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r>
        <w:pict>
          <v:rect style="width:0;height:1.5pt" o:hralign="center" o:hrstd="t" o:hr="t"/>
        </w:pict>
      </w:r>
    </w:p>
    <w:bookmarkEnd w:id="104"/>
    <w:bookmarkStart w:id="105"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r>
        <w:pict>
          <v:rect style="width:0;height:1.5pt" o:hralign="center" o:hrstd="t" o:hr="t"/>
        </w:pict>
      </w:r>
    </w:p>
    <w:bookmarkEnd w:id="105"/>
    <w:bookmarkStart w:id="106"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r>
        <w:pict>
          <v:rect style="width:0;height:1.5pt" o:hralign="center" o:hrstd="t" o:hr="t"/>
        </w:pict>
      </w:r>
    </w:p>
    <w:bookmarkEnd w:id="106"/>
    <w:bookmarkStart w:id="107"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r>
        <w:pict>
          <v:rect style="width:0;height:1.5pt" o:hralign="center" o:hrstd="t" o:hr="t"/>
        </w:pict>
      </w:r>
    </w:p>
    <w:bookmarkEnd w:id="107"/>
    <w:bookmarkStart w:id="108"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r>
        <w:pict>
          <v:rect style="width:0;height:1.5pt" o:hralign="center" o:hrstd="t" o:hr="t"/>
        </w:pict>
      </w:r>
    </w:p>
    <w:bookmarkEnd w:id="108"/>
    <w:bookmarkStart w:id="109"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Multimedia-Inhalten wie Bildern und Videos oder anderen Inhalten Dritter ansprechende Geschichten zu erstellen.</w:t>
      </w:r>
    </w:p>
    <w:p>
      <w:r>
        <w:pict>
          <v:rect style="width:0;height:1.5pt" o:hralign="center" o:hrstd="t" o:hr="t"/>
        </w:pict>
      </w:r>
    </w:p>
    <w:bookmarkEnd w:id="109"/>
    <w:bookmarkStart w:id="110" w:name="global-change"/>
    <w:p>
      <w:pPr>
        <w:pStyle w:val="berschrift3"/>
      </w:pPr>
      <w:r>
        <w:t xml:space="preserve">Global Change</w:t>
      </w:r>
    </w:p>
    <w:p>
      <w:pPr>
        <w:pStyle w:val="FirstParagraph"/>
      </w:pPr>
      <w:r>
        <w:t xml:space="preserve">Umfassende und langfristige Veränderungen des Erdsystems. Dies umfasst Klimawandel, Landnutzungsänderungen, Urbanisierung, Verlust der Biodiversität und Verschmutzung, unter starkem und zunehmendem Einfluss durch Menschen.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r>
        <w:pict>
          <v:rect style="width:0;height:1.5pt" o:hralign="center" o:hrstd="t" o:hr="t"/>
        </w:pict>
      </w:r>
    </w:p>
    <w:bookmarkEnd w:id="110"/>
    <w:bookmarkStart w:id="111"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r>
        <w:pict>
          <v:rect style="width:0;height:1.5pt" o:hralign="center" o:hrstd="t" o:hr="t"/>
        </w:pict>
      </w:r>
    </w:p>
    <w:bookmarkEnd w:id="111"/>
    <w:bookmarkStart w:id="112"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r>
        <w:pict>
          <v:rect style="width:0;height:1.5pt" o:hralign="center" o:hrstd="t" o:hr="t"/>
        </w:pict>
      </w:r>
    </w:p>
    <w:bookmarkEnd w:id="112"/>
    <w:bookmarkStart w:id="113"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r>
        <w:pict>
          <v:rect style="width:0;height:1.5pt" o:hralign="center" o:hrstd="t" o:hr="t"/>
        </w:pict>
      </w:r>
    </w:p>
    <w:bookmarkEnd w:id="113"/>
    <w:bookmarkStart w:id="114" w:name="grundhochwasser"/>
    <w:p>
      <w:pPr>
        <w:pStyle w:val="berschrift3"/>
      </w:pPr>
      <w:r>
        <w:t xml:space="preserve">Grundhochwasser</w:t>
      </w:r>
    </w:p>
    <w:p>
      <w:pPr>
        <w:pStyle w:val="FirstParagraph"/>
      </w:pPr>
      <w:r>
        <w:t xml:space="preserve">Bei normalem Wasserstand fließt Grundwasser z.B. in Richtung von Flüssen oder Senken ab. Bei Flusshochwasser strömt jedoch Flusswasser in Richtung des Landes, weshalb das Grundwasser nicht mehr abfließen kann. Das nicht abfließende Grundwasser steigt an und führt zu Überflutungen durch Grundhochwasser.</w:t>
      </w:r>
    </w:p>
    <w:p>
      <w:r>
        <w:pict>
          <v:rect style="width:0;height:1.5pt" o:hralign="center" o:hrstd="t" o:hr="t"/>
        </w:pict>
      </w:r>
    </w:p>
    <w:bookmarkEnd w:id="114"/>
    <w:bookmarkStart w:id="115"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r>
        <w:pict>
          <v:rect style="width:0;height:1.5pt" o:hralign="center" o:hrstd="t" o:hr="t"/>
        </w:pict>
      </w:r>
    </w:p>
    <w:bookmarkEnd w:id="115"/>
    <w:bookmarkStart w:id="116"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r>
        <w:pict>
          <v:rect style="width:0;height:1.5pt" o:hralign="center" o:hrstd="t" o:hr="t"/>
        </w:pict>
      </w:r>
    </w:p>
    <w:bookmarkEnd w:id="116"/>
    <w:bookmarkStart w:id="117"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r>
        <w:pict>
          <v:rect style="width:0;height:1.5pt" o:hralign="center" o:hrstd="t" o:hr="t"/>
        </w:pict>
      </w:r>
    </w:p>
    <w:bookmarkEnd w:id="117"/>
    <w:bookmarkStart w:id="118"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r>
        <w:pict>
          <v:rect style="width:0;height:1.5pt" o:hralign="center" o:hrstd="t" o:hr="t"/>
        </w:pict>
      </w:r>
    </w:p>
    <w:bookmarkEnd w:id="118"/>
    <w:bookmarkStart w:id="119" w:name="hochwasser"/>
    <w:p>
      <w:pPr>
        <w:pStyle w:val="berschrift3"/>
      </w:pPr>
      <w:r>
        <w:t xml:space="preserve">Hochwasser</w:t>
      </w:r>
    </w:p>
    <w:p>
      <w:pPr>
        <w:pStyle w:val="FirstParagraph"/>
      </w:pPr>
      <w:r>
        <w:t xml:space="preserve">Hochwasser ist eine zeitlich beschränkte Überschwemmung von normalerweise nicht mit Wasser bedecktem Land.</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r>
        <w:pict>
          <v:rect style="width:0;height:1.5pt" o:hralign="center" o:hrstd="t" o:hr="t"/>
        </w:pict>
      </w:r>
    </w:p>
    <w:bookmarkEnd w:id="119"/>
    <w:bookmarkStart w:id="120"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Überflutung durch Pegelanstieg von i.d.R. Oberflächengewässern und der zu erwartenden Fließgeschwindigkeit, Ausdehnung und Tiefe; informiert allein über die mögliche Gefahr</w:t>
      </w:r>
    </w:p>
    <w:p>
      <w:r>
        <w:pict>
          <v:rect style="width:0;height:1.5pt" o:hralign="center" o:hrstd="t" o:hr="t"/>
        </w:pict>
      </w:r>
    </w:p>
    <w:bookmarkEnd w:id="120"/>
    <w:bookmarkStart w:id="121"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möglicherweise betroffen sind.</w:t>
      </w:r>
    </w:p>
    <w:p>
      <w:r>
        <w:pict>
          <v:rect style="width:0;height:1.5pt" o:hralign="center" o:hrstd="t" o:hr="t"/>
        </w:pict>
      </w:r>
    </w:p>
    <w:bookmarkEnd w:id="121"/>
    <w:bookmarkStart w:id="122"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r>
        <w:pict>
          <v:rect style="width:0;height:1.5pt" o:hralign="center" o:hrstd="t" o:hr="t"/>
        </w:pict>
      </w:r>
    </w:p>
    <w:bookmarkEnd w:id="122"/>
    <w:bookmarkStart w:id="123" w:name="impact"/>
    <w:p>
      <w:pPr>
        <w:pStyle w:val="berschrift3"/>
      </w:pPr>
      <w:r>
        <w:t xml:space="preserve">Impact</w:t>
      </w:r>
    </w:p>
    <w:p>
      <w:pPr>
        <w:pStyle w:val="FirstParagraph"/>
      </w:pPr>
      <w:r>
        <w:t xml:space="preserve">Impact bezeichnet Veränderungen auf überliegender, gesellschaftlicher Ebene, wie beispielsweise weitreichende strukturelle oder systemische Veränderungen, Verhaltensänderungen usw., auf die Projektaktivitäten hinwirken sollen.</w:t>
      </w:r>
    </w:p>
    <w:p>
      <w:r>
        <w:pict>
          <v:rect style="width:0;height:1.5pt" o:hralign="center" o:hrstd="t" o:hr="t"/>
        </w:pict>
      </w:r>
    </w:p>
    <w:bookmarkEnd w:id="123"/>
    <w:bookmarkStart w:id="124"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r>
        <w:pict>
          <v:rect style="width:0;height:1.5pt" o:hralign="center" o:hrstd="t" o:hr="t"/>
        </w:pict>
      </w:r>
    </w:p>
    <w:bookmarkEnd w:id="124"/>
    <w:bookmarkStart w:id="125" w:name="infrastruktur"/>
    <w:p>
      <w:pPr>
        <w:pStyle w:val="berschrift3"/>
      </w:pPr>
      <w:r>
        <w:t xml:space="preserve">Infrastruktur</w:t>
      </w:r>
    </w:p>
    <w:p>
      <w:pPr>
        <w:pStyle w:val="FirstParagraph"/>
      </w:pPr>
      <w:r>
        <w:t xml:space="preserve">Materielles, institutionelles, ökologisches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r>
        <w:pict>
          <v:rect style="width:0;height:1.5pt" o:hralign="center" o:hrstd="t" o:hr="t"/>
        </w:pict>
      </w:r>
    </w:p>
    <w:bookmarkEnd w:id="125"/>
    <w:bookmarkStart w:id="126" w:name="input"/>
    <w:p>
      <w:pPr>
        <w:pStyle w:val="berschrift3"/>
      </w:pPr>
      <w:r>
        <w:t xml:space="preserve">Input</w:t>
      </w:r>
    </w:p>
    <w:p>
      <w:pPr>
        <w:pStyle w:val="FirstParagraph"/>
      </w:pPr>
      <w:r>
        <w:t xml:space="preserve">Ressourcen, wie z.B. Arbeitskräfte, Sach- und Finanzmittel, die im Projekt eingebacht werden können.</w:t>
      </w:r>
    </w:p>
    <w:p>
      <w:r>
        <w:pict>
          <v:rect style="width:0;height:1.5pt" o:hralign="center" o:hrstd="t" o:hr="t"/>
        </w:pict>
      </w:r>
    </w:p>
    <w:bookmarkEnd w:id="126"/>
    <w:bookmarkStart w:id="127" w:name="intensive-dachbegrünung"/>
    <w:p>
      <w:pPr>
        <w:pStyle w:val="berschrift3"/>
      </w:pPr>
      <w:r>
        <w:t xml:space="preserve">Intensive Dachbegrünung</w:t>
      </w:r>
    </w:p>
    <w:p>
      <w:pPr>
        <w:pStyle w:val="FirstParagraph"/>
      </w:pPr>
      <w:r>
        <w:t xml:space="preserve">Intensive Dachbegrünung bezeichnet eine Form der Begrünung von Dächern, bei der eine dickere Substratschicht (&gt;15 cm) verwendet wird. Diese Art der Begrünung ermöglicht eine vielfältige Pflanzenwahl, wie z.B. Sträucher und kleine Bäume. Intensive Dachbegrünungen erfordern regelmäßige Pflege und Bewässerung, bieten aber Vorteile wie verbesserte Luftqualität, Regenwasserrückhaltung und Wärmedämmung.</w:t>
      </w:r>
    </w:p>
    <w:p>
      <w:r>
        <w:pict>
          <v:rect style="width:0;height:1.5pt" o:hralign="center" o:hrstd="t" o:hr="t"/>
        </w:pict>
      </w:r>
    </w:p>
    <w:bookmarkEnd w:id="127"/>
    <w:bookmarkStart w:id="128" w:name="interdependenz"/>
    <w:p>
      <w:pPr>
        <w:pStyle w:val="berschrift3"/>
      </w:pPr>
      <w:r>
        <w:t xml:space="preserve">Interdependenz</w:t>
      </w:r>
    </w:p>
    <w:p>
      <w:pPr>
        <w:pStyle w:val="FirstParagraph"/>
      </w:pPr>
      <w:r>
        <w:t xml:space="preserve">Interaktion oder gegenseitige Beeinflussung, z.B. zwischen verschiedenen kritischen Infrastrukturen.</w:t>
      </w:r>
    </w:p>
    <w:p>
      <w:r>
        <w:pict>
          <v:rect style="width:0;height:1.5pt" o:hralign="center" o:hrstd="t" o:hr="t"/>
        </w:pict>
      </w:r>
    </w:p>
    <w:bookmarkEnd w:id="128"/>
    <w:bookmarkStart w:id="129"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Verwandt:</w:t>
      </w:r>
      <w:r>
        <w:rPr>
          <w:b/>
          <w:bCs/>
        </w:rPr>
        <w:t xml:space="preserve"> </w:t>
      </w:r>
      <w:r>
        <w:rPr>
          <w:b/>
          <w:bCs/>
        </w:rPr>
        <w:t xml:space="preserve"> </w:t>
      </w:r>
      <w:r>
        <w:t xml:space="preserve"> </w:t>
      </w:r>
      <w:hyperlink w:anchor="externe-wissenschaftskommunikation">
        <w:r>
          <w:rPr>
            <w:rStyle w:val="Hyperlink"/>
          </w:rPr>
          <w:t xml:space="preserve">Externe Wissenschaftskommunikation</w:t>
        </w:r>
      </w:hyperlink>
      <w:r>
        <w:t xml:space="preserve"> </w:t>
      </w:r>
    </w:p>
    <w:p>
      <w:r>
        <w:pict>
          <v:rect style="width:0;height:1.5pt" o:hralign="center" o:hrstd="t" o:hr="t"/>
        </w:pict>
      </w:r>
    </w:p>
    <w:bookmarkEnd w:id="129"/>
    <w:bookmarkStart w:id="130" w:name="kartenprojektion"/>
    <w:p>
      <w:pPr>
        <w:pStyle w:val="berschrift3"/>
      </w:pPr>
      <w:r>
        <w:t xml:space="preserve">Kartenprojektion</w:t>
      </w:r>
    </w:p>
    <w:p>
      <w:pPr>
        <w:pStyle w:val="FirstParagraph"/>
      </w:pPr>
      <w:r>
        <w:t xml:space="preserve">Mathematisches Verfahren zur Darstellung der dreidimensionalen Erdoberfläche als zweidimensionale ebene Fläche. Es gibt verschiedene Projektionen mit unterschiedlichen Eigenschaften, z.B. Winkel- oder Flächentreue. Dabei gibt es Verzerrungen, da zweidimensionale Projektionen die dreidimensionale Realität nur annähern können. Die Wahl der Projektion für eine Anwendung hängt von Zweck und Region ab.</w:t>
      </w:r>
    </w:p>
    <w:p>
      <w:r>
        <w:pict>
          <v:rect style="width:0;height:1.5pt" o:hralign="center" o:hrstd="t" o:hr="t"/>
        </w:pict>
      </w:r>
    </w:p>
    <w:bookmarkEnd w:id="130"/>
    <w:bookmarkStart w:id="131"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r>
        <w:pict>
          <v:rect style="width:0;height:1.5pt" o:hralign="center" o:hrstd="t" o:hr="t"/>
        </w:pict>
      </w:r>
    </w:p>
    <w:bookmarkEnd w:id="131"/>
    <w:bookmarkStart w:id="132" w:name="katastrophe"/>
    <w:p>
      <w:pPr>
        <w:pStyle w:val="berschrift3"/>
      </w:pPr>
      <w:r>
        <w:t xml:space="preserve">Katastrophe</w:t>
      </w:r>
    </w:p>
    <w:p>
      <w:pPr>
        <w:pStyle w:val="FirstParagraph"/>
      </w:pPr>
      <w:r>
        <w:t xml:space="preserve">Eine schwerwiegende Störung des Funktionierens eines Gemeinwesens oder einer Gesellschaft auf beliebiger Ebene. Dies verursacht u.a.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r>
        <w:pict>
          <v:rect style="width:0;height:1.5pt" o:hralign="center" o:hrstd="t" o:hr="t"/>
        </w:pict>
      </w:r>
    </w:p>
    <w:bookmarkEnd w:id="132"/>
    <w:bookmarkStart w:id="133"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r>
        <w:pict>
          <v:rect style="width:0;height:1.5pt" o:hralign="center" o:hrstd="t" o:hr="t"/>
        </w:pict>
      </w:r>
    </w:p>
    <w:bookmarkEnd w:id="133"/>
    <w:bookmarkStart w:id="134"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synonym zu Klimawandelanpassung verwendet.</w:t>
      </w:r>
    </w:p>
    <w:p>
      <w:pPr>
        <w:pStyle w:val="BodyText"/>
      </w:pPr>
      <w:r>
        <w:rPr>
          <w:b/>
          <w:bCs/>
        </w:rPr>
        <w:t xml:space="preserve">Verwandt:</w:t>
      </w:r>
      <w:r>
        <w:rPr>
          <w:b/>
          <w:bCs/>
        </w:rPr>
        <w:t xml:space="preserve"> </w:t>
      </w:r>
      <w:r>
        <w:rPr>
          <w:b/>
          <w:bCs/>
        </w:rPr>
        <w:t xml:space="preserve"> </w:t>
      </w:r>
      <w:r>
        <w:t xml:space="preserve"> </w:t>
      </w:r>
      <w:hyperlink w:anchor="klimawandelanpassung">
        <w:r>
          <w:rPr>
            <w:rStyle w:val="Hyperlink"/>
          </w:rPr>
          <w:t xml:space="preserve">Klimawandelanpassung</w:t>
        </w:r>
      </w:hyperlink>
      <w:r>
        <w:t xml:space="preserve"> </w:t>
      </w:r>
    </w:p>
    <w:p>
      <w:r>
        <w:pict>
          <v:rect style="width:0;height:1.5pt" o:hralign="center" o:hrstd="t" o:hr="t"/>
        </w:pict>
      </w:r>
    </w:p>
    <w:bookmarkEnd w:id="134"/>
    <w:bookmarkStart w:id="135"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Dialoggruppen zu vermitteln. Die Art und Weise, wie über diese Themen gesprochen wird, ist dabei maßgeblich für die Wahrnehmung des Klimawandels und den erfolgreichen Austausch von Informationen.</w:t>
      </w:r>
    </w:p>
    <w:p>
      <w:r>
        <w:pict>
          <v:rect style="width:0;height:1.5pt" o:hralign="center" o:hrstd="t" o:hr="t"/>
        </w:pict>
      </w:r>
    </w:p>
    <w:bookmarkEnd w:id="135"/>
    <w:bookmarkStart w:id="136"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r>
        <w:pict>
          <v:rect style="width:0;height:1.5pt" o:hralign="center" o:hrstd="t" o:hr="t"/>
        </w:pict>
      </w:r>
    </w:p>
    <w:bookmarkEnd w:id="136"/>
    <w:bookmarkStart w:id="137"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r>
        <w:pict>
          <v:rect style="width:0;height:1.5pt" o:hralign="center" o:hrstd="t" o:hr="t"/>
        </w:pict>
      </w:r>
    </w:p>
    <w:bookmarkEnd w:id="137"/>
    <w:bookmarkStart w:id="138"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r>
        <w:pict>
          <v:rect style="width:0;height:1.5pt" o:hralign="center" o:hrstd="t" o:hr="t"/>
        </w:pict>
      </w:r>
    </w:p>
    <w:bookmarkEnd w:id="138"/>
    <w:bookmarkStart w:id="139"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Verwandt:</w:t>
      </w:r>
      <w:r>
        <w:rPr>
          <w:b/>
          <w:bCs/>
        </w:rPr>
        <w:t xml:space="preserve"> </w:t>
      </w:r>
      <w:r>
        <w:rPr>
          <w:b/>
          <w:bCs/>
        </w:rPr>
        <w:t xml:space="preserve"> </w:t>
      </w:r>
      <w:r>
        <w:t xml:space="preserve"> </w:t>
      </w:r>
      <w:hyperlink w:anchor="klimaanpassung">
        <w:r>
          <w:rPr>
            <w:rStyle w:val="Hyperlink"/>
          </w:rPr>
          <w:t xml:space="preserve">Klimaanpassung</w:t>
        </w:r>
      </w:hyperlink>
      <w:r>
        <w:t xml:space="preserve"> </w:t>
      </w:r>
    </w:p>
    <w:p>
      <w:r>
        <w:pict>
          <v:rect style="width:0;height:1.5pt" o:hralign="center" o:hrstd="t" o:hr="t"/>
        </w:pict>
      </w:r>
    </w:p>
    <w:bookmarkEnd w:id="139"/>
    <w:bookmarkStart w:id="140" w:name="kollaborativ"/>
    <w:p>
      <w:pPr>
        <w:pStyle w:val="berschrift3"/>
      </w:pPr>
      <w:r>
        <w:t xml:space="preserve">Kollaborativ</w:t>
      </w:r>
    </w:p>
    <w:p>
      <w:pPr>
        <w:pStyle w:val="FirstParagraph"/>
      </w:pPr>
      <w:r>
        <w:t xml:space="preserve">Kollaboration bedeutet bzgl. eines gemeinsamen Ziels zusammenzuarbeiten. Hierbei geht es darum, gemeinsam im Team Probleme so zu lösen und Ideen zu entwickeln, in denen verschiedene Sichtweisen integriert sind.</w:t>
      </w:r>
    </w:p>
    <w:p>
      <w:r>
        <w:pict>
          <v:rect style="width:0;height:1.5pt" o:hralign="center" o:hrstd="t" o:hr="t"/>
        </w:pict>
      </w:r>
    </w:p>
    <w:bookmarkEnd w:id="140"/>
    <w:bookmarkStart w:id="141"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r>
        <w:pict>
          <v:rect style="width:0;height:1.5pt" o:hralign="center" o:hrstd="t" o:hr="t"/>
        </w:pict>
      </w:r>
    </w:p>
    <w:bookmarkEnd w:id="141"/>
    <w:bookmarkStart w:id="142" w:name="koordinatensystem"/>
    <w:p>
      <w:pPr>
        <w:pStyle w:val="berschrift3"/>
      </w:pPr>
      <w:r>
        <w:t xml:space="preserve">Koordinatensystem</w:t>
      </w:r>
    </w:p>
    <w:p>
      <w:pPr>
        <w:pStyle w:val="FirstParagraph"/>
      </w:pPr>
      <w:r>
        <w:t xml:space="preserve">Ein Referenzsystem, um die Position eines Objekts im Raum mit Hilfe von Zahlen (Koordinaten) zu beschreiben</w:t>
      </w:r>
    </w:p>
    <w:p>
      <w:r>
        <w:pict>
          <v:rect style="width:0;height:1.5pt" o:hralign="center" o:hrstd="t" o:hr="t"/>
        </w:pict>
      </w:r>
    </w:p>
    <w:bookmarkEnd w:id="142"/>
    <w:bookmarkStart w:id="143"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r>
        <w:pict>
          <v:rect style="width:0;height:1.5pt" o:hralign="center" o:hrstd="t" o:hr="t"/>
        </w:pict>
      </w:r>
    </w:p>
    <w:bookmarkEnd w:id="143"/>
    <w:bookmarkStart w:id="144" w:name="krisenmanagement"/>
    <w:p>
      <w:pPr>
        <w:pStyle w:val="berschrift3"/>
      </w:pPr>
      <w:r>
        <w:t xml:space="preserve">Krisenmanagement</w:t>
      </w:r>
    </w:p>
    <w:p>
      <w:pPr>
        <w:pStyle w:val="FirstParagraph"/>
      </w:pPr>
      <w:r>
        <w:t xml:space="preserve">Alle Maßnahmen zur Vorbereitung auf Erkennung und Bewältigung, Vermeidung weiterer Eskalation sowie Nachbereitung von Krisen. (Bundesamt für Bevölkerungsschutz und Katastrophenhilfe 2024: Glossar)</w:t>
      </w:r>
    </w:p>
    <w:p>
      <w:r>
        <w:pict>
          <v:rect style="width:0;height:1.5pt" o:hralign="center" o:hrstd="t" o:hr="t"/>
        </w:pict>
      </w:r>
    </w:p>
    <w:bookmarkEnd w:id="144"/>
    <w:bookmarkStart w:id="145" w:name="kritis-branche"/>
    <w:p>
      <w:pPr>
        <w:pStyle w:val="berschrift3"/>
      </w:pPr>
      <w:r>
        <w:t xml:space="preserve">KRITIS-Branche</w:t>
      </w:r>
    </w:p>
    <w:p>
      <w:pPr>
        <w:pStyle w:val="FirstParagraph"/>
      </w:pPr>
      <w:r>
        <w:t xml:space="preserve">Die Untergliederung einer der KRITIS-Sektoren. Der KRITIS-Sektor Energie umfasst beispielsweise die KRITIS-Branchen Elektrizität, Gas, Mineralöl und Fernwärme.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r>
        <w:pict>
          <v:rect style="width:0;height:1.5pt" o:hralign="center" o:hrstd="t" o:hr="t"/>
        </w:pict>
      </w:r>
    </w:p>
    <w:bookmarkEnd w:id="145"/>
    <w:bookmarkStart w:id="146"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r>
        <w:pict>
          <v:rect style="width:0;height:1.5pt" o:hralign="center" o:hrstd="t" o:hr="t"/>
        </w:pict>
      </w:r>
    </w:p>
    <w:bookmarkEnd w:id="146"/>
    <w:bookmarkStart w:id="147" w:name="kritis-sektoren"/>
    <w:p>
      <w:pPr>
        <w:pStyle w:val="berschrift3"/>
      </w:pPr>
      <w:r>
        <w:t xml:space="preserve">KRITIS-Sektoren</w:t>
      </w:r>
    </w:p>
    <w:p>
      <w:pPr>
        <w:pStyle w:val="FirstParagraph"/>
      </w:pPr>
      <w:r>
        <w:t xml:space="preserve">Die Gesamtheit aller Sektoren, die laut Innenministerium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r>
        <w:pict>
          <v:rect style="width:0;height:1.5pt" o:hralign="center" o:hrstd="t" o:hr="t"/>
        </w:pict>
      </w:r>
    </w:p>
    <w:bookmarkEnd w:id="147"/>
    <w:bookmarkStart w:id="148"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r>
        <w:pict>
          <v:rect style="width:0;height:1.5pt" o:hralign="center" o:hrstd="t" o:hr="t"/>
        </w:pict>
      </w:r>
    </w:p>
    <w:bookmarkEnd w:id="148"/>
    <w:bookmarkStart w:id="149"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r>
        <w:pict>
          <v:rect style="width:0;height:1.5pt" o:hralign="center" o:hrstd="t" o:hr="t"/>
        </w:pict>
      </w:r>
    </w:p>
    <w:bookmarkEnd w:id="149"/>
    <w:bookmarkStart w:id="150"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r>
        <w:pict>
          <v:rect style="width:0;height:1.5pt" o:hralign="center" o:hrstd="t" o:hr="t"/>
        </w:pict>
      </w:r>
    </w:p>
    <w:bookmarkEnd w:id="150"/>
    <w:bookmarkStart w:id="151"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r>
        <w:pict>
          <v:rect style="width:0;height:1.5pt" o:hralign="center" o:hrstd="t" o:hr="t"/>
        </w:pict>
      </w:r>
    </w:p>
    <w:bookmarkEnd w:id="151"/>
    <w:bookmarkStart w:id="152"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r>
        <w:pict>
          <v:rect style="width:0;height:1.5pt" o:hralign="center" o:hrstd="t" o:hr="t"/>
        </w:pict>
      </w:r>
    </w:p>
    <w:bookmarkEnd w:id="152"/>
    <w:bookmarkStart w:id="153" w:name="metadaten"/>
    <w:p>
      <w:pPr>
        <w:pStyle w:val="berschrift3"/>
      </w:pPr>
      <w:r>
        <w:t xml:space="preserve">Metadaten</w:t>
      </w:r>
    </w:p>
    <w:p>
      <w:pPr>
        <w:pStyle w:val="FirstParagraph"/>
      </w:pPr>
      <w:r>
        <w:t xml:space="preserve">Strukturierte Daten, die Informationen über andere Daten und Datenquellen enthalten</w:t>
      </w:r>
    </w:p>
    <w:p>
      <w:r>
        <w:pict>
          <v:rect style="width:0;height:1.5pt" o:hralign="center" o:hrstd="t" o:hr="t"/>
        </w:pict>
      </w:r>
    </w:p>
    <w:bookmarkEnd w:id="153"/>
    <w:bookmarkStart w:id="154"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r>
        <w:pict>
          <v:rect style="width:0;height:1.5pt" o:hralign="center" o:hrstd="t" o:hr="t"/>
        </w:pict>
      </w:r>
    </w:p>
    <w:bookmarkEnd w:id="154"/>
    <w:bookmarkStart w:id="155" w:name="mikroklima"/>
    <w:p>
      <w:pPr>
        <w:pStyle w:val="berschrift3"/>
      </w:pPr>
      <w:r>
        <w:t xml:space="preserve">Mikroklima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Einfache Beschreibung:</w:t>
      </w:r>
      <w:r>
        <w:rPr>
          <w:b/>
          <w:bCs/>
        </w:rPr>
        <w:t xml:space="preserve"> </w:t>
      </w:r>
      <w:r>
        <w:rPr>
          <w:b/>
          <w:bCs/>
        </w:rPr>
        <w:t xml:space="preserve"> </w:t>
      </w:r>
      <w:r>
        <w:t xml:space="preserve"> </w:t>
      </w:r>
      <w:r>
        <w:t xml:space="preserve">Spezifisches Klima, das sich sehr lokal in bodennahen Luftschichten entwickelt und stark von vorhandenen Oberflächen beeinflusst wird</w:t>
      </w:r>
      <w:r>
        <w:t xml:space="preserve"> </w:t>
      </w:r>
    </w:p>
    <w:p>
      <w:r>
        <w:pict>
          <v:rect style="width:0;height:1.5pt" o:hralign="center" o:hrstd="t" o:hr="t"/>
        </w:pict>
      </w:r>
    </w:p>
    <w:bookmarkEnd w:id="155"/>
    <w:bookmarkStart w:id="156"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und ermöglicht Interaktionen in beiden Richtungen zwischen realen und digitalen Komponenten.</w:t>
      </w:r>
    </w:p>
    <w:p>
      <w:r>
        <w:pict>
          <v:rect style="width:0;height:1.5pt" o:hralign="center" o:hrstd="t" o:hr="t"/>
        </w:pict>
      </w:r>
    </w:p>
    <w:bookmarkEnd w:id="156"/>
    <w:bookmarkStart w:id="157" w:name="modellregionen"/>
    <w:p>
      <w:pPr>
        <w:pStyle w:val="berschrift3"/>
      </w:pPr>
      <w:r>
        <w:t xml:space="preserve">Modellregionen</w:t>
      </w:r>
    </w:p>
    <w:p>
      <w:pPr>
        <w:pStyle w:val="FirstParagraph"/>
      </w:pPr>
      <w:r>
        <w:t xml:space="preserve">Räumlich abgegrenzte Gebiete, in denen Transformation exemplarisch im regionalen Kontext erprobt und evaluiert wird. Dabei kann die Abgrenzung auf unterschiedlichen Konzepten basieren, z.B. Kommune, Städte oder Flusseinzugsgebiete. In Co-Site sind die Modellregionen Kommunen oder Städte.</w:t>
      </w:r>
    </w:p>
    <w:p>
      <w:r>
        <w:pict>
          <v:rect style="width:0;height:1.5pt" o:hralign="center" o:hrstd="t" o:hr="t"/>
        </w:pict>
      </w:r>
    </w:p>
    <w:bookmarkEnd w:id="157"/>
    <w:bookmarkStart w:id="158" w:name="monitoring"/>
    <w:p>
      <w:pPr>
        <w:pStyle w:val="berschrift3"/>
      </w:pPr>
      <w:r>
        <w:t xml:space="preserve">Monitoring</w:t>
      </w:r>
    </w:p>
    <w:p>
      <w:pPr>
        <w:pStyle w:val="FirstParagraph"/>
      </w:pPr>
      <w:r>
        <w:t xml:space="preserve">Synoym zu formativer Evaluation.</w:t>
      </w:r>
    </w:p>
    <w:p>
      <w:r>
        <w:pict>
          <v:rect style="width:0;height:1.5pt" o:hralign="center" o:hrstd="t" o:hr="t"/>
        </w:pict>
      </w:r>
    </w:p>
    <w:bookmarkEnd w:id="158"/>
    <w:bookmarkStart w:id="159"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ökologisch tragfähig, sozial gerecht und wirtschaftlich effizient, werden dabei gleichberechtigt betrachtet.</w:t>
      </w:r>
    </w:p>
    <w:p>
      <w:r>
        <w:pict>
          <v:rect style="width:0;height:1.5pt" o:hralign="center" o:hrstd="t" o:hr="t"/>
        </w:pict>
      </w:r>
    </w:p>
    <w:bookmarkEnd w:id="159"/>
    <w:bookmarkStart w:id="160"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r>
        <w:pict>
          <v:rect style="width:0;height:1.5pt" o:hralign="center" o:hrstd="t" o:hr="t"/>
        </w:pict>
      </w:r>
    </w:p>
    <w:bookmarkEnd w:id="160"/>
    <w:bookmarkStart w:id="161"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r>
        <w:pict>
          <v:rect style="width:0;height:1.5pt" o:hralign="center" o:hrstd="t" o:hr="t"/>
        </w:pict>
      </w:r>
    </w:p>
    <w:bookmarkEnd w:id="161"/>
    <w:bookmarkStart w:id="162"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r>
        <w:pict>
          <v:rect style="width:0;height:1.5pt" o:hralign="center" o:hrstd="t" o:hr="t"/>
        </w:pict>
      </w:r>
    </w:p>
    <w:bookmarkEnd w:id="162"/>
    <w:bookmarkStart w:id="163"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Verwandt:</w:t>
      </w:r>
      <w:r>
        <w:rPr>
          <w:b/>
          <w:bCs/>
        </w:rPr>
        <w:t xml:space="preserve"> </w:t>
      </w:r>
      <w:r>
        <w:rPr>
          <w:b/>
          <w:bCs/>
        </w:rPr>
        <w:t xml:space="preserve"> </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163"/>
    <w:bookmarkStart w:id="164" w:name="naturgefahr"/>
    <w:p>
      <w:pPr>
        <w:pStyle w:val="berschrift3"/>
      </w:pPr>
      <w:r>
        <w:t xml:space="preserve">Naturgefahr</w:t>
      </w:r>
    </w:p>
    <w:p>
      <w:pPr>
        <w:pStyle w:val="FirstParagraph"/>
      </w:pPr>
      <w:r>
        <w:t xml:space="preserve">Mit der Natur oder Umweltfaktoren verbundene Gefahr</w:t>
      </w:r>
    </w:p>
    <w:p>
      <w:pPr>
        <w:pStyle w:val="BodyText"/>
      </w:pPr>
      <w:r>
        <w:rPr>
          <w:b/>
          <w:bCs/>
        </w:rPr>
        <w:t xml:space="preserve">Einfache Beschreibung:</w:t>
      </w:r>
      <w:r>
        <w:rPr>
          <w:b/>
          <w:bCs/>
        </w:rPr>
        <w:t xml:space="preserve"> </w:t>
      </w:r>
      <w:r>
        <w:rPr>
          <w:b/>
          <w:bCs/>
        </w:rPr>
        <w:t xml:space="preserve"> </w:t>
      </w:r>
      <w:r>
        <w:t xml:space="preserve"> </w:t>
      </w:r>
      <w:r>
        <w:t xml:space="preserve">Mit der Natur oder Umweltfaktoren verbundene Gefahr</w:t>
      </w:r>
      <w:r>
        <w:t xml:space="preserve"> </w:t>
      </w:r>
    </w:p>
    <w:p>
      <w:r>
        <w:pict>
          <v:rect style="width:0;height:1.5pt" o:hralign="center" o:hrstd="t" o:hr="t"/>
        </w:pict>
      </w:r>
    </w:p>
    <w:bookmarkEnd w:id="164"/>
    <w:bookmarkStart w:id="165"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r>
        <w:pict>
          <v:rect style="width:0;height:1.5pt" o:hralign="center" o:hrstd="t" o:hr="t"/>
        </w:pict>
      </w:r>
    </w:p>
    <w:bookmarkEnd w:id="165"/>
    <w:bookmarkStart w:id="166" w:name="ökosystemdienstleistungen"/>
    <w:p>
      <w:pPr>
        <w:pStyle w:val="berschrift3"/>
      </w:pPr>
      <w:r>
        <w:t xml:space="preserve">Ökosystemdienstleistungen</w:t>
      </w:r>
    </w:p>
    <w:p>
      <w:pPr>
        <w:pStyle w:val="FirstParagraph"/>
      </w:pPr>
      <w:r>
        <w:t xml:space="preserve">Leistungen, die ein Ökosystem dem Menschen bereitstellt. Sie sind entscheidend für das menschliche Wohlbefinden und die nachhaltige Entwicklung und können regulierender (z.B. Klimaregulierung, Bestäubung), unterstützender (z.B. Bodenbildung, Nährstoffkreislauf), kultureller (z.B. Erholung, Tourismus) und versorgender (z.B. Nahrung, Wasser) Natur sein.</w:t>
      </w:r>
    </w:p>
    <w:p>
      <w:r>
        <w:pict>
          <v:rect style="width:0;height:1.5pt" o:hralign="center" o:hrstd="t" o:hr="t"/>
        </w:pict>
      </w:r>
    </w:p>
    <w:bookmarkEnd w:id="166"/>
    <w:bookmarkStart w:id="167"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r>
        <w:pict>
          <v:rect style="width:0;height:1.5pt" o:hralign="center" o:hrstd="t" o:hr="t"/>
        </w:pict>
      </w:r>
    </w:p>
    <w:bookmarkEnd w:id="167"/>
    <w:bookmarkStart w:id="168"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Expertenkonsortium, das sich für die Verbesserung des Zugriffs auf Geodaten oder Standortinformationen einsetzt.</w:t>
      </w:r>
    </w:p>
    <w:p>
      <w:r>
        <w:pict>
          <v:rect style="width:0;height:1.5pt" o:hralign="center" o:hrstd="t" o:hr="t"/>
        </w:pict>
      </w:r>
    </w:p>
    <w:bookmarkEnd w:id="168"/>
    <w:bookmarkStart w:id="169"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r>
        <w:pict>
          <v:rect style="width:0;height:1.5pt" o:hralign="center" o:hrstd="t" o:hr="t"/>
        </w:pict>
      </w:r>
    </w:p>
    <w:bookmarkEnd w:id="169"/>
    <w:bookmarkStart w:id="170" w:name="outcome"/>
    <w:p>
      <w:pPr>
        <w:pStyle w:val="berschrift3"/>
      </w:pPr>
      <w:r>
        <w:t xml:space="preserve">Outcome</w:t>
      </w:r>
    </w:p>
    <w:p>
      <w:pPr>
        <w:pStyle w:val="FirstParagraph"/>
      </w:pPr>
      <w:r>
        <w:t xml:space="preserve">Outcomes bezeichnen kurz- und mittelfristige Veränderungen im direkten Projektkontext und in der Zielgruppe, die durch Projektaktivitäten bewirkt wurden (z.B. Lerneffekte, Beziehungsaufbau, direkte Verbesserung der Situation usw.).</w:t>
      </w:r>
    </w:p>
    <w:p>
      <w:r>
        <w:pict>
          <v:rect style="width:0;height:1.5pt" o:hralign="center" o:hrstd="t" o:hr="t"/>
        </w:pict>
      </w:r>
    </w:p>
    <w:bookmarkEnd w:id="170"/>
    <w:bookmarkStart w:id="171" w:name="output"/>
    <w:p>
      <w:pPr>
        <w:pStyle w:val="berschrift3"/>
      </w:pPr>
      <w:r>
        <w:t xml:space="preserve">Output</w:t>
      </w:r>
    </w:p>
    <w:p>
      <w:pPr>
        <w:pStyle w:val="FirstParagraph"/>
      </w:pPr>
      <w:r>
        <w:t xml:space="preserve">Outputs sind Leistungen und Produkte, wie z.B. Workshops, Konzepte, neue Tools etc., die durch Projektaktivitäten hervorgebracht werden, um Wirkungsziele zu erreichen.</w:t>
      </w:r>
    </w:p>
    <w:p>
      <w:r>
        <w:pict>
          <v:rect style="width:0;height:1.5pt" o:hralign="center" o:hrstd="t" o:hr="t"/>
        </w:pict>
      </w:r>
    </w:p>
    <w:bookmarkEnd w:id="171"/>
    <w:bookmarkStart w:id="172"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r>
        <w:pict>
          <v:rect style="width:0;height:1.5pt" o:hralign="center" o:hrstd="t" o:hr="t"/>
        </w:pict>
      </w:r>
    </w:p>
    <w:bookmarkEnd w:id="172"/>
    <w:bookmarkStart w:id="173"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informierender und wissensvermittelnder Wissenschaftskommunikation.</w:t>
      </w:r>
    </w:p>
    <w:p>
      <w:r>
        <w:pict>
          <v:rect style="width:0;height:1.5pt" o:hralign="center" o:hrstd="t" o:hr="t"/>
        </w:pict>
      </w:r>
    </w:p>
    <w:bookmarkEnd w:id="173"/>
    <w:bookmarkStart w:id="174"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r>
        <w:pict>
          <v:rect style="width:0;height:1.5pt" o:hralign="center" o:hrstd="t" o:hr="t"/>
        </w:pict>
      </w:r>
    </w:p>
    <w:bookmarkEnd w:id="174"/>
    <w:bookmarkStart w:id="175"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r>
        <w:pict>
          <v:rect style="width:0;height:1.5pt" o:hralign="center" o:hrstd="t" o:hr="t"/>
        </w:pict>
      </w:r>
    </w:p>
    <w:bookmarkEnd w:id="175"/>
    <w:bookmarkStart w:id="176"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r>
        <w:pict>
          <v:rect style="width:0;height:1.5pt" o:hralign="center" o:hrstd="t" o:hr="t"/>
        </w:pict>
      </w:r>
    </w:p>
    <w:bookmarkEnd w:id="176"/>
    <w:bookmarkStart w:id="177" w:name="pluviales-hochwasser"/>
    <w:p>
      <w:pPr>
        <w:pStyle w:val="berschrift3"/>
      </w:pPr>
      <w:r>
        <w:t xml:space="preserve">Pluviales Hochwasser</w:t>
      </w:r>
    </w:p>
    <w:p>
      <w:pPr>
        <w:pStyle w:val="FirstParagraph"/>
      </w:pPr>
      <w:r>
        <w:t xml:space="preserve">Überflutung durch massive Niederschläge, die der Boden nicht mehr aufnehmen kann. Sie treten ohne Abhängigkeit von Fließgewässern auf.</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r>
        <w:pict>
          <v:rect style="width:0;height:1.5pt" o:hralign="center" o:hrstd="t" o:hr="t"/>
        </w:pict>
      </w:r>
    </w:p>
    <w:bookmarkEnd w:id="177"/>
    <w:bookmarkStart w:id="178"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r>
        <w:pict>
          <v:rect style="width:0;height:1.5pt" o:hralign="center" o:hrstd="t" o:hr="t"/>
        </w:pict>
      </w:r>
    </w:p>
    <w:bookmarkEnd w:id="178"/>
    <w:bookmarkStart w:id="179"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r>
        <w:pict>
          <v:rect style="width:0;height:1.5pt" o:hralign="center" o:hrstd="t" o:hr="t"/>
        </w:pict>
      </w:r>
    </w:p>
    <w:bookmarkEnd w:id="179"/>
    <w:bookmarkStart w:id="180"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r>
        <w:pict>
          <v:rect style="width:0;height:1.5pt" o:hralign="center" o:hrstd="t" o:hr="t"/>
        </w:pict>
      </w:r>
    </w:p>
    <w:bookmarkEnd w:id="180"/>
    <w:bookmarkStart w:id="181"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81"/>
    <w:bookmarkStart w:id="182"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r>
        <w:pict>
          <v:rect style="width:0;height:1.5pt" o:hralign="center" o:hrstd="t" o:hr="t"/>
        </w:pict>
      </w:r>
    </w:p>
    <w:bookmarkEnd w:id="182"/>
    <w:bookmarkStart w:id="183"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r>
        <w:pict>
          <v:rect style="width:0;height:1.5pt" o:hralign="center" o:hrstd="t" o:hr="t"/>
        </w:pict>
      </w:r>
    </w:p>
    <w:bookmarkEnd w:id="183"/>
    <w:bookmarkStart w:id="184"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r>
        <w:pict>
          <v:rect style="width:0;height:1.5pt" o:hralign="center" o:hrstd="t" o:hr="t"/>
        </w:pict>
      </w:r>
    </w:p>
    <w:bookmarkEnd w:id="184"/>
    <w:bookmarkStart w:id="185"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r>
        <w:pict>
          <v:rect style="width:0;height:1.5pt" o:hralign="center" o:hrstd="t" o:hr="t"/>
        </w:pict>
      </w:r>
    </w:p>
    <w:bookmarkEnd w:id="185"/>
    <w:bookmarkStart w:id="186"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r>
        <w:pict>
          <v:rect style="width:0;height:1.5pt" o:hralign="center" o:hrstd="t" o:hr="t"/>
        </w:pict>
      </w:r>
    </w:p>
    <w:bookmarkEnd w:id="186"/>
    <w:bookmarkStart w:id="187"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r>
        <w:pict>
          <v:rect style="width:0;height:1.5pt" o:hralign="center" o:hrstd="t" o:hr="t"/>
        </w:pict>
      </w:r>
    </w:p>
    <w:bookmarkEnd w:id="187"/>
    <w:bookmarkStart w:id="188"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r>
        <w:pict>
          <v:rect style="width:0;height:1.5pt" o:hralign="center" o:hrstd="t" o:hr="t"/>
        </w:pict>
      </w:r>
    </w:p>
    <w:bookmarkEnd w:id="188"/>
    <w:bookmarkStart w:id="189"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r>
        <w:pict>
          <v:rect style="width:0;height:1.5pt" o:hralign="center" o:hrstd="t" o:hr="t"/>
        </w:pict>
      </w:r>
    </w:p>
    <w:bookmarkEnd w:id="189"/>
    <w:bookmarkStart w:id="190" w:name="reallabor"/>
    <w:p>
      <w:pPr>
        <w:pStyle w:val="berschrift3"/>
      </w:pPr>
      <w:r>
        <w:t xml:space="preserve">Reallabor</w:t>
      </w:r>
    </w:p>
    <w:p>
      <w:pPr>
        <w:pStyle w:val="FirstParagraph"/>
      </w:pPr>
      <w:r>
        <w:t xml:space="preserve">Ein Reallabor ist ein instutionell-struktureller Rahmen, der z.B.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r>
        <w:pict>
          <v:rect style="width:0;height:1.5pt" o:hralign="center" o:hrstd="t" o:hr="t"/>
        </w:pict>
      </w:r>
    </w:p>
    <w:bookmarkEnd w:id="190"/>
    <w:bookmarkStart w:id="191"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r>
        <w:pict>
          <v:rect style="width:0;height:1.5pt" o:hralign="center" o:hrstd="t" o:hr="t"/>
        </w:pict>
      </w:r>
    </w:p>
    <w:bookmarkEnd w:id="191"/>
    <w:bookmarkStart w:id="192"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r>
        <w:pict>
          <v:rect style="width:0;height:1.5pt" o:hralign="center" o:hrstd="t" o:hr="t"/>
        </w:pict>
      </w:r>
    </w:p>
    <w:bookmarkEnd w:id="192"/>
    <w:bookmarkStart w:id="193"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r>
        <w:pict>
          <v:rect style="width:0;height:1.5pt" o:hralign="center" o:hrstd="t" o:hr="t"/>
        </w:pict>
      </w:r>
    </w:p>
    <w:bookmarkEnd w:id="193"/>
    <w:bookmarkStart w:id="194"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r>
        <w:pict>
          <v:rect style="width:0;height:1.5pt" o:hralign="center" o:hrstd="t" o:hr="t"/>
        </w:pict>
      </w:r>
    </w:p>
    <w:bookmarkEnd w:id="194"/>
    <w:bookmarkStart w:id="195"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r>
        <w:pict>
          <v:rect style="width:0;height:1.5pt" o:hralign="center" o:hrstd="t" o:hr="t"/>
        </w:pict>
      </w:r>
    </w:p>
    <w:bookmarkEnd w:id="195"/>
    <w:bookmarkStart w:id="196"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r>
        <w:pict>
          <v:rect style="width:0;height:1.5pt" o:hralign="center" o:hrstd="t" o:hr="t"/>
        </w:pict>
      </w:r>
    </w:p>
    <w:bookmarkEnd w:id="196"/>
    <w:bookmarkStart w:id="197"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r>
        <w:pict>
          <v:rect style="width:0;height:1.5pt" o:hralign="center" o:hrstd="t" o:hr="t"/>
        </w:pict>
      </w:r>
    </w:p>
    <w:bookmarkEnd w:id="197"/>
    <w:bookmarkStart w:id="198"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r>
        <w:pict>
          <v:rect style="width:0;height:1.5pt" o:hralign="center" o:hrstd="t" o:hr="t"/>
        </w:pict>
      </w:r>
    </w:p>
    <w:bookmarkEnd w:id="198"/>
    <w:bookmarkStart w:id="199" w:name="risikokarte"/>
    <w:p>
      <w:pPr>
        <w:pStyle w:val="berschrift3"/>
      </w:pPr>
      <w:r>
        <w:t xml:space="preserve">Risikokarte</w:t>
      </w:r>
    </w:p>
    <w:p>
      <w:pPr>
        <w:pStyle w:val="FirstParagraph"/>
      </w:pPr>
      <w:r>
        <w:t xml:space="preserve">Ist eine Karte, welche die Auswirkung einer Gefahr auf eine angegebene Fläche beschreibt. Dabei wird beispielsweise die Anzahl der betroffenen Bevölkerung, die Art der wirtschaftlichen Tätigkeiten sowie das Vorhandensein von Kulturstätten betrachtet.</w:t>
      </w:r>
    </w:p>
    <w:p>
      <w:r>
        <w:pict>
          <v:rect style="width:0;height:1.5pt" o:hralign="center" o:hrstd="t" o:hr="t"/>
        </w:pict>
      </w:r>
    </w:p>
    <w:bookmarkEnd w:id="199"/>
    <w:bookmarkStart w:id="200" w:name="risikomanagement"/>
    <w:p>
      <w:pPr>
        <w:pStyle w:val="berschrift3"/>
      </w:pPr>
      <w:r>
        <w:t xml:space="preserve">Risikomanagement</w:t>
      </w:r>
    </w:p>
    <w:p>
      <w:pPr>
        <w:pStyle w:val="FirstParagraph"/>
      </w:pPr>
      <w:r>
        <w:t xml:space="preserve">Ist ein systematischer Prozess, um Risiken zu identifizieren, zu bewerten und zu steuern. Ziel ist es, potenzielle Gefahren oder Schäden frühzeitig zu erkennen, deren Auswirkungen abzuschätzen und geeignete Maßnahmen zur Risikovermeidung, -minderung oder -akzeptanz zu ergreifen.</w:t>
      </w:r>
    </w:p>
    <w:p>
      <w:r>
        <w:pict>
          <v:rect style="width:0;height:1.5pt" o:hralign="center" o:hrstd="t" o:hr="t"/>
        </w:pict>
      </w:r>
    </w:p>
    <w:bookmarkEnd w:id="200"/>
    <w:bookmarkStart w:id="201"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r>
        <w:pict>
          <v:rect style="width:0;height:1.5pt" o:hralign="center" o:hrstd="t" o:hr="t"/>
        </w:pict>
      </w:r>
    </w:p>
    <w:bookmarkEnd w:id="201"/>
    <w:bookmarkStart w:id="202"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r>
        <w:pict>
          <v:rect style="width:0;height:1.5pt" o:hralign="center" o:hrstd="t" o:hr="t"/>
        </w:pict>
      </w:r>
    </w:p>
    <w:bookmarkEnd w:id="202"/>
    <w:bookmarkStart w:id="203" w:name="schutzgut"/>
    <w:p>
      <w:pPr>
        <w:pStyle w:val="berschrift3"/>
      </w:pPr>
      <w:r>
        <w:t xml:space="preserve">Schutzgut</w:t>
      </w:r>
    </w:p>
    <w:p>
      <w:pPr>
        <w:pStyle w:val="FirstParagraph"/>
      </w:pPr>
      <w:r>
        <w:t xml:space="preserve">Alles, was aufgrund seines ideellen oder materiellen Wertes vor Schaden bewahrt werden soll.</w:t>
      </w:r>
    </w:p>
    <w:p>
      <w:r>
        <w:pict>
          <v:rect style="width:0;height:1.5pt" o:hralign="center" o:hrstd="t" o:hr="t"/>
        </w:pict>
      </w:r>
    </w:p>
    <w:bookmarkEnd w:id="203"/>
    <w:bookmarkStart w:id="204"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r>
        <w:pict>
          <v:rect style="width:0;height:1.5pt" o:hralign="center" o:hrstd="t" o:hr="t"/>
        </w:pict>
      </w:r>
    </w:p>
    <w:bookmarkEnd w:id="204"/>
    <w:bookmarkStart w:id="205" w:name="sensitivität"/>
    <w:p>
      <w:pPr>
        <w:pStyle w:val="berschrift3"/>
      </w:pPr>
      <w:r>
        <w:t xml:space="preserve">Sensitivität</w:t>
      </w:r>
    </w:p>
    <w:p>
      <w:pPr>
        <w:pStyle w:val="FirstParagraph"/>
      </w:pPr>
      <w:r>
        <w:t xml:space="preserve">Das Ausmaß, in dem ein System oder eine Gruppe durch Veränderungen von Rahmenbedingungen und anderen Faktoren beeinflusst wird. Im Kontext des Klimawandels, bezieht sich Sensitivität auf das Ausmaß, in dem ein System oder eine Art durch Klimaschwankungen oder -veränderungen (z.B. Häufigkeit von Extremereignissen, stärkere Temperaturschwankungen) beeinflusst wird.</w:t>
      </w:r>
    </w:p>
    <w:p>
      <w:r>
        <w:pict>
          <v:rect style="width:0;height:1.5pt" o:hralign="center" o:hrstd="t" o:hr="t"/>
        </w:pict>
      </w:r>
    </w:p>
    <w:bookmarkEnd w:id="205"/>
    <w:bookmarkStart w:id="206"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r>
        <w:pict>
          <v:rect style="width:0;height:1.5pt" o:hralign="center" o:hrstd="t" o:hr="t"/>
        </w:pict>
      </w:r>
    </w:p>
    <w:bookmarkEnd w:id="206"/>
    <w:bookmarkStart w:id="207" w:name="simulationen"/>
    <w:p>
      <w:pPr>
        <w:pStyle w:val="berschrift3"/>
      </w:pPr>
      <w:r>
        <w:t xml:space="preserve">Simulationen</w:t>
      </w:r>
    </w:p>
    <w:p>
      <w:pPr>
        <w:pStyle w:val="FirstParagraph"/>
      </w:pPr>
      <w:r>
        <w:t xml:space="preserve">Nachbildungen der realen Welt und ihrer physikalischen Eigenschaften. Sie werden für Lern- und Lehrzwecke, Trainings sowie computerbasierte Experimente genutzt. Technische Simulationen nutzen mathematische Methoden, um zukünftige Entwicklungen und Folgen vorherzusagen und darzustellen.</w:t>
      </w:r>
    </w:p>
    <w:p>
      <w:r>
        <w:pict>
          <v:rect style="width:0;height:1.5pt" o:hralign="center" o:hrstd="t" o:hr="t"/>
        </w:pict>
      </w:r>
    </w:p>
    <w:bookmarkEnd w:id="207"/>
    <w:bookmarkStart w:id="208" w:name="sites"/>
    <w:p>
      <w:pPr>
        <w:pStyle w:val="berschrift3"/>
      </w:pPr>
      <w:r>
        <w:t xml:space="preserve">Sites</w:t>
      </w:r>
    </w:p>
    <w:p>
      <w:pPr>
        <w:pStyle w:val="FirstParagraph"/>
      </w:pPr>
      <w:r>
        <w:t xml:space="preserve">Modellregionen des Projekts Co-Site, derzeit Stadt Leverkusen (als Großstadt), Kolpingstadt Kerpen (als Mittelstadt), Erftstadt (Mittelstadt) und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r>
        <w:pict>
          <v:rect style="width:0;height:1.5pt" o:hralign="center" o:hrstd="t" o:hr="t"/>
        </w:pict>
      </w:r>
    </w:p>
    <w:bookmarkEnd w:id="208"/>
    <w:bookmarkStart w:id="209" w:name="sozial-ökologische-transformation"/>
    <w:p>
      <w:pPr>
        <w:pStyle w:val="berschrift3"/>
      </w:pPr>
      <w:r>
        <w:t xml:space="preserve">Sozial-ökologische Transformation</w:t>
      </w:r>
    </w:p>
    <w:p>
      <w:pPr>
        <w:pStyle w:val="FirstParagraph"/>
      </w:pPr>
      <w:r>
        <w:t xml:space="preserve">Ein tiefgreifender struktureller Wandel hin zu einer ressourcenschonenden Lebensweise und einer nachhaltigen Entwicklung.</w:t>
      </w:r>
    </w:p>
    <w:p>
      <w:pPr>
        <w:pStyle w:val="BodyText"/>
      </w:pPr>
      <w:r>
        <w:rPr>
          <w:b/>
          <w:bCs/>
        </w:rPr>
        <w:t xml:space="preserve">Verwandt:</w:t>
      </w:r>
      <w:r>
        <w:rPr>
          <w:b/>
          <w:bCs/>
        </w:rPr>
        <w:t xml:space="preserve"> </w:t>
      </w:r>
      <w:r>
        <w:rPr>
          <w:b/>
          <w:bCs/>
        </w:rPr>
        <w:t xml:space="preserve"> </w:t>
      </w:r>
      <w:r>
        <w:t xml:space="preserve"> </w:t>
      </w:r>
      <w:hyperlink w:anchor="nachhaltigkeit">
        <w:r>
          <w:rPr>
            <w:rStyle w:val="Hyperlink"/>
          </w:rPr>
          <w:t xml:space="preserve">Nachhaltigkeit</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09"/>
    <w:bookmarkStart w:id="210"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Personen oder (organisiertierte) Personengruppen, auch Entitäten genannt.</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r>
        <w:pict>
          <v:rect style="width:0;height:1.5pt" o:hralign="center" o:hrstd="t" o:hr="t"/>
        </w:pict>
      </w:r>
    </w:p>
    <w:bookmarkEnd w:id="210"/>
    <w:bookmarkStart w:id="211"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 Die Niederschlagsmenge übersteigt 15 bis 25 l/m2 in 1 Stunde oder 20 bis 35 l/m2 in 6 Stunden.</w:t>
      </w:r>
    </w:p>
    <w:p>
      <w:r>
        <w:pict>
          <v:rect style="width:0;height:1.5pt" o:hralign="center" o:hrstd="t" o:hr="t"/>
        </w:pict>
      </w:r>
    </w:p>
    <w:bookmarkEnd w:id="211"/>
    <w:bookmarkStart w:id="212"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r>
        <w:pict>
          <v:rect style="width:0;height:1.5pt" o:hralign="center" o:hrstd="t" o:hr="t"/>
        </w:pict>
      </w:r>
    </w:p>
    <w:bookmarkEnd w:id="212"/>
    <w:bookmarkStart w:id="213"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nach dem Merkblatt 119 der Deutschen Vereinigung für Wasserwirtschaft, Abwasser und Abfall angegeben. Die Starkregenindices geben das Gefahrenrisiko bei Überflutungen wider.</w:t>
      </w:r>
    </w:p>
    <w:p>
      <w:r>
        <w:pict>
          <v:rect style="width:0;height:1.5pt" o:hralign="center" o:hrstd="t" o:hr="t"/>
        </w:pict>
      </w:r>
    </w:p>
    <w:bookmarkEnd w:id="213"/>
    <w:bookmarkStart w:id="214"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zum Beispiel Einwohnerzahl, Schutzgebieten, Industrieanlagen und Kulturstätten.</w:t>
      </w:r>
    </w:p>
    <w:p>
      <w:r>
        <w:pict>
          <v:rect style="width:0;height:1.5pt" o:hralign="center" o:hrstd="t" o:hr="t"/>
        </w:pict>
      </w:r>
    </w:p>
    <w:bookmarkEnd w:id="214"/>
    <w:bookmarkStart w:id="215"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r>
        <w:pict>
          <v:rect style="width:0;height:1.5pt" o:hralign="center" o:hrstd="t" o:hr="t"/>
        </w:pict>
      </w:r>
    </w:p>
    <w:bookmarkEnd w:id="215"/>
    <w:bookmarkStart w:id="216"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r>
        <w:pict>
          <v:rect style="width:0;height:1.5pt" o:hralign="center" o:hrstd="t" o:hr="t"/>
        </w:pict>
      </w:r>
    </w:p>
    <w:bookmarkEnd w:id="216"/>
    <w:bookmarkStart w:id="217"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r>
        <w:pict>
          <v:rect style="width:0;height:1.5pt" o:hralign="center" o:hrstd="t" o:hr="t"/>
        </w:pict>
      </w:r>
    </w:p>
    <w:bookmarkEnd w:id="217"/>
    <w:bookmarkStart w:id="218" w:name="sustainable-development-goals"/>
    <w:p>
      <w:pPr>
        <w:pStyle w:val="berschrift3"/>
      </w:pPr>
      <w:r>
        <w:t xml:space="preserve">Sustainable Development Goals</w:t>
      </w:r>
    </w:p>
    <w:p>
      <w:pPr>
        <w:pStyle w:val="FirstParagraph"/>
      </w:pPr>
      <w:r>
        <w:rPr>
          <w:b/>
          <w:bCs/>
        </w:rPr>
        <w:t xml:space="preserve">(SDGs)</w:t>
      </w:r>
    </w:p>
    <w:p>
      <w:pPr>
        <w:pStyle w:val="BodyText"/>
      </w:pPr>
      <w:r>
        <w:t xml:space="preserve">Die Sustainable Development Goals (Ziele für nachhaltige Entwicklung) bestehen aus 17 ökonomischen, ökologischen und sozialen Zielen. Sie wurden 2015 in der Agenda 2030 von den Vereinten Nationen (United Nations) verabschiedet und dienen global als Agenda für eine nachhaltige Entwicklung.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agenda-2030">
        <w:r>
          <w:rPr>
            <w:rStyle w:val="Hyperlink"/>
          </w:rPr>
          <w:t xml:space="preserve">Agenda 2030</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agenda-2030">
        <w:r>
          <w:rPr>
            <w:rStyle w:val="Hyperlink"/>
          </w:rPr>
          <w:t xml:space="preserve">Agenda 2030</w:t>
        </w:r>
      </w:hyperlink>
      <w:r>
        <w:t xml:space="preserve"> </w:t>
      </w:r>
    </w:p>
    <w:p>
      <w:r>
        <w:pict>
          <v:rect style="width:0;height:1.5pt" o:hralign="center" o:hrstd="t" o:hr="t"/>
        </w:pict>
      </w:r>
    </w:p>
    <w:bookmarkEnd w:id="218"/>
    <w:bookmarkStart w:id="219"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r>
        <w:pict>
          <v:rect style="width:0;height:1.5pt" o:hralign="center" o:hrstd="t" o:hr="t"/>
        </w:pict>
      </w:r>
    </w:p>
    <w:bookmarkEnd w:id="219"/>
    <w:bookmarkStart w:id="220"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Verwandt:</w:t>
      </w:r>
      <w:r>
        <w:rPr>
          <w:b/>
          <w:bCs/>
        </w:rPr>
        <w:t xml:space="preserve"> </w:t>
      </w:r>
      <w:r>
        <w:rPr>
          <w:b/>
          <w:bCs/>
        </w:rPr>
        <w:t xml:space="preserve"> </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20"/>
    <w:bookmarkStart w:id="221"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Sie lassen viel bis mäßige Versickerung von Oberflächenabflüssen zu.</w:t>
      </w:r>
    </w:p>
    <w:p>
      <w:r>
        <w:pict>
          <v:rect style="width:0;height:1.5pt" o:hralign="center" o:hrstd="t" o:hr="t"/>
        </w:pict>
      </w:r>
    </w:p>
    <w:bookmarkEnd w:id="221"/>
    <w:bookmarkStart w:id="222"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r>
        <w:pict>
          <v:rect style="width:0;height:1.5pt" o:hralign="center" o:hrstd="t" o:hr="t"/>
        </w:pict>
      </w:r>
    </w:p>
    <w:bookmarkEnd w:id="222"/>
    <w:bookmarkStart w:id="223"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r>
        <w:pict>
          <v:rect style="width:0;height:1.5pt" o:hralign="center" o:hrstd="t" o:hr="t"/>
        </w:pict>
      </w:r>
    </w:p>
    <w:bookmarkEnd w:id="223"/>
    <w:bookmarkStart w:id="224"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Das transdisziplinäre Arbeiten zeichnet sich insbesondere durch die Verknüpfung unterschiedlicher Sichtweisen und Fachdisziplinen der jeweiligen Akteur:innen aus.</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24"/>
    <w:bookmarkStart w:id="225" w:name="transfer"/>
    <w:p>
      <w:pPr>
        <w:pStyle w:val="berschrift3"/>
      </w:pPr>
      <w:r>
        <w:t xml:space="preserve">Transfer</w:t>
      </w:r>
    </w:p>
    <w:p>
      <w:pPr>
        <w:pStyle w:val="FirstParagraph"/>
      </w:pPr>
      <w:r>
        <w:t xml:space="preserve">Austausch und Anwendung von wissenschaftlichem und praktischem Wissen in unterschiedlichen und insbesondere andere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 </w:t>
      </w:r>
    </w:p>
    <w:p>
      <w:r>
        <w:pict>
          <v:rect style="width:0;height:1.5pt" o:hralign="center" o:hrstd="t" o:hr="t"/>
        </w:pict>
      </w:r>
    </w:p>
    <w:bookmarkEnd w:id="225"/>
    <w:bookmarkStart w:id="226"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r>
        <w:pict>
          <v:rect style="width:0;height:1.5pt" o:hralign="center" o:hrstd="t" o:hr="t"/>
        </w:pict>
      </w:r>
    </w:p>
    <w:bookmarkEnd w:id="226"/>
    <w:bookmarkStart w:id="227" w:name="transfermodus-1"/>
    <w:p>
      <w:pPr>
        <w:pStyle w:val="berschrift3"/>
      </w:pPr>
      <w:r>
        <w:t xml:space="preserve">Transfermodus 1</w:t>
      </w:r>
    </w:p>
    <w:p>
      <w:pPr>
        <w:pStyle w:val="FirstParagraph"/>
      </w:pPr>
      <w:r>
        <w:t xml:space="preserve">Wissens- und Technologietransfer für die Gesellschaft, der den linearen Transfer von Wissen und Technologie aus der Hochschule in die Gesellschaft beschreibt.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7"/>
    <w:bookmarkStart w:id="228" w:name="transfermodus-2a"/>
    <w:p>
      <w:pPr>
        <w:pStyle w:val="berschrift3"/>
      </w:pPr>
      <w:r>
        <w:t xml:space="preserve">Transfermodus 2a</w:t>
      </w:r>
    </w:p>
    <w:p>
      <w:pPr>
        <w:pStyle w:val="FirstParagraph"/>
      </w:pPr>
      <w:r>
        <w:t xml:space="preserve">Ideen-,Wissens- und Technologietransfer mit der und für die Gesellschaft. Hochschulexterne aus mindestens einem gesellschaftlichen Teilsystem werden an einem Teil der wissenschaftlichen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8"/>
    <w:bookmarkStart w:id="229"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Transfermodus des Projekts Co-Site.</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9"/>
    <w:bookmarkStart w:id="230" w:name="transformation"/>
    <w:p>
      <w:pPr>
        <w:pStyle w:val="berschrift3"/>
      </w:pPr>
      <w:r>
        <w:t xml:space="preserve">Transformation</w:t>
      </w:r>
    </w:p>
    <w:p>
      <w:pPr>
        <w:pStyle w:val="FirstParagraph"/>
      </w:pPr>
      <w:r>
        <w:t xml:space="preserve">Eine grundlegende Veränderung eines Systems hin zu einem (gewünschten) Zielzustand</w:t>
      </w:r>
    </w:p>
    <w:p>
      <w:r>
        <w:pict>
          <v:rect style="width:0;height:1.5pt" o:hralign="center" o:hrstd="t" o:hr="t"/>
        </w:pict>
      </w:r>
    </w:p>
    <w:bookmarkEnd w:id="230"/>
    <w:bookmarkStart w:id="231"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r>
        <w:pict>
          <v:rect style="width:0;height:1.5pt" o:hralign="center" o:hrstd="t" o:hr="t"/>
        </w:pict>
      </w:r>
    </w:p>
    <w:bookmarkEnd w:id="231"/>
    <w:bookmarkStart w:id="232"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r>
        <w:pict>
          <v:rect style="width:0;height:1.5pt" o:hralign="center" o:hrstd="t" o:hr="t"/>
        </w:pict>
      </w:r>
    </w:p>
    <w:bookmarkEnd w:id="232"/>
    <w:bookmarkStart w:id="233"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 </w:t>
      </w:r>
    </w:p>
    <w:p>
      <w:r>
        <w:pict>
          <v:rect style="width:0;height:1.5pt" o:hralign="center" o:hrstd="t" o:hr="t"/>
        </w:pict>
      </w:r>
    </w:p>
    <w:bookmarkEnd w:id="233"/>
    <w:bookmarkStart w:id="234"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in der Gesellschaft zu initiieren und zu unterstützen.</w:t>
      </w:r>
    </w:p>
    <w:p>
      <w:pPr>
        <w:pStyle w:val="BodyText"/>
      </w:pPr>
      <w:r>
        <w:rPr>
          <w:b/>
          <w:bCs/>
        </w:rPr>
        <w:t xml:space="preserve">Verwandt:</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234"/>
    <w:bookmarkStart w:id="235" w:name="transformatives-lernen"/>
    <w:p>
      <w:pPr>
        <w:pStyle w:val="berschrift3"/>
      </w:pPr>
      <w:r>
        <w:t xml:space="preserve">Transformatives Lernen</w:t>
      </w:r>
    </w:p>
    <w:p>
      <w:pPr>
        <w:pStyle w:val="FirstParagraph"/>
      </w:pPr>
      <w:r>
        <w:t xml:space="preserve">Transformatives Lernen bewirkt tiefgreifende Veränderungen im Denken und Verhalten. Es führt zu neuen Perspektiven und einem erweiterten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Verwandt:</w:t>
      </w:r>
      <w:r>
        <w:rPr>
          <w:b/>
          <w:bCs/>
        </w:rPr>
        <w:t xml:space="preserve"> </w:t>
      </w:r>
      <w:r>
        <w:rPr>
          <w:b/>
          <w:bCs/>
        </w:rPr>
        <w:t xml:space="preserve"> </w:t>
      </w:r>
      <w:r>
        <w:t xml:space="preserve"> </w:t>
      </w:r>
      <w:hyperlink w:anchor="transformative-wissenschaft">
        <w:r>
          <w:rPr>
            <w:rStyle w:val="Hyperlink"/>
          </w:rPr>
          <w:t xml:space="preserve">Transformative Wissenschaft</w:t>
        </w:r>
      </w:hyperlink>
      <w:r>
        <w:t xml:space="preserve">,</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35"/>
    <w:bookmarkStart w:id="236"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r>
        <w:pict>
          <v:rect style="width:0;height:1.5pt" o:hralign="center" o:hrstd="t" o:hr="t"/>
        </w:pict>
      </w:r>
    </w:p>
    <w:bookmarkEnd w:id="236"/>
    <w:bookmarkStart w:id="237"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Berücksichtigt wird dabei zugleich die Anpassungsfähigkeit und Entwicklung hin zu einer robusten, adaptiven und zukunftsfähigen Stadt.</w:t>
      </w:r>
    </w:p>
    <w:p>
      <w:r>
        <w:pict>
          <v:rect style="width:0;height:1.5pt" o:hralign="center" o:hrstd="t" o:hr="t"/>
        </w:pict>
      </w:r>
    </w:p>
    <w:bookmarkEnd w:id="237"/>
    <w:bookmarkStart w:id="238"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r>
        <w:pict>
          <v:rect style="width:0;height:1.5pt" o:hralign="center" o:hrstd="t" o:hr="t"/>
        </w:pict>
      </w:r>
    </w:p>
    <w:bookmarkEnd w:id="238"/>
    <w:bookmarkStart w:id="239"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r>
        <w:pict>
          <v:rect style="width:0;height:1.5pt" o:hralign="center" o:hrstd="t" o:hr="t"/>
        </w:pict>
      </w:r>
    </w:p>
    <w:bookmarkEnd w:id="239"/>
    <w:bookmarkStart w:id="240" w:name="vektordaten"/>
    <w:p>
      <w:pPr>
        <w:pStyle w:val="berschrift3"/>
      </w:pPr>
      <w:r>
        <w:t xml:space="preserve">Vektordaten</w:t>
      </w:r>
    </w:p>
    <w:p>
      <w:pPr>
        <w:pStyle w:val="FirstParagraph"/>
      </w:pPr>
      <w:r>
        <w:t xml:space="preserve">eine Darstellung der Erdobjekte (Datenmodell) durch Punkte, Linien und Polygone.</w:t>
      </w:r>
    </w:p>
    <w:p>
      <w:r>
        <w:pict>
          <v:rect style="width:0;height:1.5pt" o:hralign="center" o:hrstd="t" o:hr="t"/>
        </w:pict>
      </w:r>
    </w:p>
    <w:bookmarkEnd w:id="240"/>
    <w:bookmarkStart w:id="241" w:name="verletzlichkeit"/>
    <w:p>
      <w:pPr>
        <w:pStyle w:val="berschrift3"/>
      </w:pPr>
      <w:r>
        <w:t xml:space="preserve">Verletzlichkeit</w:t>
      </w:r>
    </w:p>
    <w:p>
      <w:pPr>
        <w:pStyle w:val="FirstParagraph"/>
      </w:pPr>
      <w:r>
        <w:t xml:space="preserve">Siehe Vulnerabilität</w:t>
      </w:r>
    </w:p>
    <w:p>
      <w:r>
        <w:pict>
          <v:rect style="width:0;height:1.5pt" o:hralign="center" o:hrstd="t" o:hr="t"/>
        </w:pict>
      </w:r>
    </w:p>
    <w:bookmarkEnd w:id="241"/>
    <w:bookmarkStart w:id="242"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2"/>
    <w:bookmarkStart w:id="243" w:name="virtual-reality"/>
    <w:p>
      <w:pPr>
        <w:pStyle w:val="berschrift3"/>
      </w:pPr>
      <w:r>
        <w:t xml:space="preserve">Virtual Reality</w:t>
      </w:r>
    </w:p>
    <w:p>
      <w:pPr>
        <w:pStyle w:val="FirstParagraph"/>
      </w:pPr>
      <w:r>
        <w:rPr>
          <w:b/>
          <w:bCs/>
        </w:rPr>
        <w:t xml:space="preserve">(VR)</w:t>
      </w:r>
    </w:p>
    <w:p>
      <w:pPr>
        <w:pStyle w:val="BodyText"/>
      </w:pPr>
      <w:r>
        <w:t xml:space="preserve">Virtual Reality (dt. virtuelle Realität) beschreibt eine computergenerierte virtuelle Umgebung, die Nutzer:innen visuell und auditiv mittels VR-Brille erleben können und in der die reale Welt visuell nicht erfasst werden kann.</w:t>
      </w:r>
    </w:p>
    <w:p>
      <w:r>
        <w:pict>
          <v:rect style="width:0;height:1.5pt" o:hralign="center" o:hrstd="t" o:hr="t"/>
        </w:pict>
      </w:r>
    </w:p>
    <w:bookmarkEnd w:id="243"/>
    <w:bookmarkStart w:id="244"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r>
        <w:pict>
          <v:rect style="width:0;height:1.5pt" o:hralign="center" o:hrstd="t" o:hr="t"/>
        </w:pict>
      </w:r>
    </w:p>
    <w:bookmarkEnd w:id="244"/>
    <w:bookmarkStart w:id="245" w:name="vision"/>
    <w:p>
      <w:pPr>
        <w:pStyle w:val="berschrift3"/>
      </w:pPr>
      <w:r>
        <w:t xml:space="preserve">Vision</w:t>
      </w:r>
    </w:p>
    <w:p>
      <w:pPr>
        <w:pStyle w:val="FirstParagraph"/>
      </w:pPr>
      <w:r>
        <w:t xml:space="preserve">Ein Zielbild, welches ein angestrebtes Szenario in der Zukunft beschreibt.</w:t>
      </w:r>
    </w:p>
    <w:p>
      <w:r>
        <w:pict>
          <v:rect style="width:0;height:1.5pt" o:hralign="center" o:hrstd="t" o:hr="t"/>
        </w:pict>
      </w:r>
    </w:p>
    <w:bookmarkEnd w:id="245"/>
    <w:bookmarkStart w:id="246" w:name="vr-brille"/>
    <w:p>
      <w:pPr>
        <w:pStyle w:val="berschrift3"/>
      </w:pPr>
      <w:r>
        <w:t xml:space="preserve">VR-Brille</w:t>
      </w:r>
    </w:p>
    <w:p>
      <w:pPr>
        <w:pStyle w:val="FirstParagraph"/>
      </w:pPr>
      <w:r>
        <w:t xml:space="preserve">Eine Virtual-Reality-Brille ist ein tragbares Gerät (Head-Mounted Display), welches wie eine Brille oder ein Helm getragen wird und die Person vollständig in eine computergenerierte, dreidimensionale virtuelle Umgebung eintauchen lässt. Diese Brillen besitzen integrierte Bildschirme und Sensoren, um Kopfbewegungen zu verfolgen und eine immersive visuelle und oft auch auditive Erfahrung zu bieten.</w:t>
      </w:r>
    </w:p>
    <w:p>
      <w:r>
        <w:pict>
          <v:rect style="width:0;height:1.5pt" o:hralign="center" o:hrstd="t" o:hr="t"/>
        </w:pict>
      </w:r>
    </w:p>
    <w:bookmarkEnd w:id="246"/>
    <w:bookmarkStart w:id="247"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virtuelen Welt zu bewegen, ohne physisch den Ort zu wechseln, und erhöht so die Immersion und Interaktivität.</w:t>
      </w:r>
    </w:p>
    <w:p>
      <w:r>
        <w:pict>
          <v:rect style="width:0;height:1.5pt" o:hralign="center" o:hrstd="t" o:hr="t"/>
        </w:pict>
      </w:r>
    </w:p>
    <w:bookmarkEnd w:id="247"/>
    <w:bookmarkStart w:id="248"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r>
        <w:pict>
          <v:rect style="width:0;height:1.5pt" o:hralign="center" o:hrstd="t" o:hr="t"/>
        </w:pict>
      </w:r>
    </w:p>
    <w:bookmarkEnd w:id="248"/>
    <w:bookmarkStart w:id="249"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beispielsweise ökonomische, ökologische, soziale und technische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9"/>
    <w:bookmarkStart w:id="250"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r>
        <w:pict>
          <v:rect style="width:0;height:1.5pt" o:hralign="center" o:hrstd="t" o:hr="t"/>
        </w:pict>
      </w:r>
    </w:p>
    <w:bookmarkEnd w:id="250"/>
    <w:bookmarkStart w:id="251"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251"/>
    <w:bookmarkStart w:id="252"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r>
        <w:pict>
          <v:rect style="width:0;height:1.5pt" o:hralign="center" o:hrstd="t" o:hr="t"/>
        </w:pict>
      </w:r>
    </w:p>
    <w:bookmarkEnd w:id="252"/>
    <w:bookmarkStart w:id="253"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r>
        <w:pict>
          <v:rect style="width:0;height:1.5pt" o:hralign="center" o:hrstd="t" o:hr="t"/>
        </w:pict>
      </w:r>
    </w:p>
    <w:bookmarkEnd w:id="253"/>
    <w:bookmarkStart w:id="254"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r>
        <w:pict>
          <v:rect style="width:0;height:1.5pt" o:hralign="center" o:hrstd="t" o:hr="t"/>
        </w:pict>
      </w:r>
    </w:p>
    <w:bookmarkEnd w:id="254"/>
    <w:bookmarkStart w:id="255"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r>
        <w:pict>
          <v:rect style="width:0;height:1.5pt" o:hralign="center" o:hrstd="t" o:hr="t"/>
        </w:pict>
      </w:r>
    </w:p>
    <w:bookmarkEnd w:id="255"/>
    <w:bookmarkStart w:id="256"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r>
        <w:pict>
          <v:rect style="width:0;height:1.5pt" o:hralign="center" o:hrstd="t" o:hr="t"/>
        </w:pict>
      </w:r>
    </w:p>
    <w:bookmarkEnd w:id="256"/>
    <w:bookmarkStart w:id="257"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r>
        <w:pict>
          <v:rect style="width:0;height:1.5pt" o:hralign="center" o:hrstd="t" o:hr="t"/>
        </w:pict>
      </w:r>
    </w:p>
    <w:bookmarkEnd w:id="257"/>
    <w:bookmarkStart w:id="258"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r>
        <w:pict>
          <v:rect style="width:0;height:1.5pt" o:hralign="center" o:hrstd="t" o:hr="t"/>
        </w:pict>
      </w:r>
    </w:p>
    <w:bookmarkEnd w:id="258"/>
    <w:bookmarkStart w:id="259"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r>
        <w:pict>
          <v:rect style="width:0;height:1.5pt" o:hralign="center" o:hrstd="t" o:hr="t"/>
        </w:pict>
      </w:r>
    </w:p>
    <w:bookmarkEnd w:id="259"/>
    <w:bookmarkStart w:id="260"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r>
        <w:pict>
          <v:rect style="width:0;height:1.5pt" o:hralign="center" o:hrstd="t" o:hr="t"/>
        </w:pict>
      </w:r>
    </w:p>
    <w:bookmarkEnd w:id="260"/>
    <w:bookmarkStart w:id="261"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partizipativen Austausch. Im Kontext von Reallaborarbeit bedeutet dies u. a. die Verknüpfung von vorhandenem Wissen verschiedener relevanter Stakeholder und die dadurch erzeugte ganzheitliche Erweiterung, Ergänzung und Entwicklung neuen Wissens.</w:t>
      </w:r>
    </w:p>
    <w:p>
      <w:r>
        <w:pict>
          <v:rect style="width:0;height:1.5pt" o:hralign="center" o:hrstd="t" o:hr="t"/>
        </w:pict>
      </w:r>
    </w:p>
    <w:bookmarkEnd w:id="261"/>
    <w:bookmarkStart w:id="262" w:name="wissenstransfer"/>
    <w:p>
      <w:pPr>
        <w:pStyle w:val="berschrift3"/>
      </w:pPr>
      <w:r>
        <w:t xml:space="preserve">Wissenstransfer</w:t>
      </w:r>
    </w:p>
    <w:p>
      <w:pPr>
        <w:pStyle w:val="FirstParagraph"/>
      </w:pPr>
      <w:r>
        <w:t xml:space="preserve">Austausch von Wissen zwischen Personen oder Institutionen, z.B. in der Gesellschaft, Politik, Wirtschaft oder Wissenschaft</w:t>
      </w:r>
    </w:p>
    <w:p>
      <w:r>
        <w:pict>
          <v:rect style="width:0;height:1.5pt" o:hralign="center" o:hrstd="t" o:hr="t"/>
        </w:pict>
      </w:r>
    </w:p>
    <w:bookmarkEnd w:id="262"/>
    <w:bookmarkStart w:id="263"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r>
        <w:pict>
          <v:rect style="width:0;height:1.5pt" o:hralign="center" o:hrstd="t" o:hr="t"/>
        </w:pict>
      </w:r>
    </w:p>
    <w:bookmarkEnd w:id="263"/>
    <w:bookmarkStart w:id="264" w:name="zeitliche-auflösung"/>
    <w:p>
      <w:pPr>
        <w:pStyle w:val="berschrift3"/>
      </w:pPr>
      <w:r>
        <w:t xml:space="preserve">Zeitliche Auflösung</w:t>
      </w:r>
    </w:p>
    <w:p>
      <w:pPr>
        <w:pStyle w:val="FirstParagraph"/>
      </w:pPr>
      <w:r>
        <w:t xml:space="preserve">Zeitliche Abstände zwischen einzelnen Aufnahmen des gleichen Gebietes in einem Datensatz.</w:t>
      </w:r>
    </w:p>
    <w:p>
      <w:r>
        <w:pict>
          <v:rect style="width:0;height:1.5pt" o:hralign="center" o:hrstd="t" o:hr="t"/>
        </w:pict>
      </w:r>
    </w:p>
    <w:bookmarkEnd w:id="264"/>
    <w:bookmarkStart w:id="265" w:name="zeitreihe"/>
    <w:p>
      <w:pPr>
        <w:pStyle w:val="berschrift3"/>
      </w:pPr>
      <w:r>
        <w:t xml:space="preserve">Zeitreihe</w:t>
      </w:r>
    </w:p>
    <w:p>
      <w:pPr>
        <w:pStyle w:val="FirstParagraph"/>
      </w:pPr>
      <w:r>
        <w:t xml:space="preserve">Zeitlich geordnete Messdaten, die regelmäßig erfasst wurden.</w:t>
      </w:r>
    </w:p>
    <w:p>
      <w:r>
        <w:pict>
          <v:rect style="width:0;height:1.5pt" o:hralign="center" o:hrstd="t" o:hr="t"/>
        </w:pict>
      </w:r>
    </w:p>
    <w:bookmarkEnd w:id="265"/>
    <w:bookmarkStart w:id="266" w:name="zielgruppe"/>
    <w:p>
      <w:pPr>
        <w:pStyle w:val="berschrift3"/>
      </w:pPr>
      <w:r>
        <w:t xml:space="preserve">Zielgruppe</w:t>
      </w:r>
    </w:p>
    <w:p>
      <w:pPr>
        <w:pStyle w:val="FirstParagraph"/>
      </w:pPr>
      <w:r>
        <w:t xml:space="preserve">Eine Person oder Gruppe von Menschen, die mit den Maßnahmen des Reallabors angesprochen oder eingebunden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r>
        <w:pict>
          <v:rect style="width:0;height:1.5pt" o:hralign="center" o:hrstd="t" o:hr="t"/>
        </w:pict>
      </w:r>
    </w:p>
    <w:bookmarkEnd w:id="266"/>
    <w:bookmarkStart w:id="267"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67"/>
    <w:bookmarkStart w:id="268"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268"/>
    <w:bookmarkEnd w:id="269"/>
    <w:bookmarkStart w:id="296" w:name="co-site-tags"/>
    <w:p>
      <w:pPr>
        <w:pStyle w:val="berschrift1"/>
      </w:pPr>
      <w:r>
        <w:t xml:space="preserve">Co-Site Tags</w:t>
      </w:r>
    </w:p>
    <w:p>
      <w:pPr>
        <w:pStyle w:val="FirstParagraph"/>
      </w:pPr>
    </w:p>
    <w:bookmarkStart w:id="270"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Räumliche Auflösung</w:t>
      </w:r>
    </w:p>
    <w:p>
      <w:pPr>
        <w:pStyle w:val="BodyText"/>
      </w:pPr>
      <w:r>
        <w:t xml:space="preserve">Zeitliche Auflösung</w:t>
      </w:r>
    </w:p>
    <w:p>
      <w:pPr>
        <w:pStyle w:val="BodyText"/>
      </w:pPr>
      <w:r>
        <w:t xml:space="preserve">Zeitreihe</w:t>
      </w:r>
    </w:p>
    <w:bookmarkEnd w:id="270"/>
    <w:bookmarkStart w:id="271"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Serious Games</w:t>
      </w:r>
    </w:p>
    <w:p>
      <w:pPr>
        <w:pStyle w:val="BodyText"/>
      </w:pPr>
      <w:r>
        <w:t xml:space="preserve">Urbaner Digitaler Zwilling</w:t>
      </w:r>
    </w:p>
    <w:bookmarkEnd w:id="271"/>
    <w:bookmarkStart w:id="272"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Extensive Dachbegrünung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Intensive Dachbegrünung</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Nature-based Solution</w:t>
      </w:r>
    </w:p>
    <w:p>
      <w:pPr>
        <w:pStyle w:val="BodyText"/>
      </w:pPr>
      <w:r>
        <w:t xml:space="preserve">Permeable Oberflächen</w:t>
      </w:r>
    </w:p>
    <w:p>
      <w:pPr>
        <w:pStyle w:val="BodyText"/>
      </w:pPr>
      <w:r>
        <w:t xml:space="preserve">Pluviales Hochwasser</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bookmarkEnd w:id="272"/>
    <w:bookmarkStart w:id="273" w:name="gefahr-1"/>
    <w:p>
      <w:pPr>
        <w:pStyle w:val="berschrift3"/>
      </w:pPr>
      <w:r>
        <w:t xml:space="preserve">Gefahr</w:t>
      </w:r>
    </w:p>
    <w:p>
      <w:pPr>
        <w:pStyle w:val="FirstParagraph"/>
      </w:pPr>
      <w:r>
        <w:t xml:space="preserve">Anpassungsfähigkeit</w:t>
      </w:r>
    </w:p>
    <w:p>
      <w:pPr>
        <w:pStyle w:val="BodyText"/>
      </w:pPr>
      <w:r>
        <w:t xml:space="preserve">Gefahrenereignis</w:t>
      </w:r>
    </w:p>
    <w:p>
      <w:pPr>
        <w:pStyle w:val="BodyText"/>
      </w:pPr>
      <w:r>
        <w:t xml:space="preserve">Naturgefahr</w:t>
      </w:r>
    </w:p>
    <w:bookmarkEnd w:id="273"/>
    <w:bookmarkStart w:id="274" w:name="geoinformationssystem-1"/>
    <w:p>
      <w:pPr>
        <w:pStyle w:val="berschrift3"/>
      </w:pPr>
      <w:r>
        <w:t xml:space="preserve">Geoinformationssystem</w:t>
      </w:r>
    </w:p>
    <w:p>
      <w:pPr>
        <w:pStyle w:val="FirstParagraph"/>
      </w:pPr>
      <w:r>
        <w:t xml:space="preserve">Georeferenzierung</w:t>
      </w:r>
    </w:p>
    <w:p>
      <w:pPr>
        <w:pStyle w:val="BodyText"/>
      </w:pPr>
      <w:r>
        <w:t xml:space="preserve">Metadaten</w:t>
      </w:r>
    </w:p>
    <w:bookmarkEnd w:id="274"/>
    <w:bookmarkStart w:id="275" w:name="geonode-1"/>
    <w:p>
      <w:pPr>
        <w:pStyle w:val="berschrift3"/>
      </w:pPr>
      <w:r>
        <w:t xml:space="preserve">GeoNode</w:t>
      </w:r>
    </w:p>
    <w:p>
      <w:pPr>
        <w:pStyle w:val="FirstParagraph"/>
      </w:pPr>
      <w:r>
        <w:t xml:space="preserve">InfoTool</w:t>
      </w:r>
    </w:p>
    <w:bookmarkEnd w:id="275"/>
    <w:bookmarkStart w:id="276" w:name="gis"/>
    <w:p>
      <w:pPr>
        <w:pStyle w:val="berschrift3"/>
      </w:pPr>
      <w:r>
        <w:t xml:space="preserve">GIS</w:t>
      </w:r>
    </w:p>
    <w:p>
      <w:pPr>
        <w:pStyle w:val="FirstParagraph"/>
      </w:pPr>
      <w:r>
        <w:t xml:space="preserve">Koordinatensystem</w:t>
      </w:r>
    </w:p>
    <w:p>
      <w:pPr>
        <w:pStyle w:val="BodyText"/>
      </w:pPr>
      <w:r>
        <w:t xml:space="preserve">Rasterdaten</w:t>
      </w:r>
    </w:p>
    <w:bookmarkEnd w:id="276"/>
    <w:bookmarkStart w:id="277" w:name="hitzeinsel"/>
    <w:p>
      <w:pPr>
        <w:pStyle w:val="berschrift3"/>
      </w:pPr>
      <w:r>
        <w:t xml:space="preserve">Hitzeinsel</w:t>
      </w:r>
    </w:p>
    <w:p>
      <w:pPr>
        <w:pStyle w:val="FirstParagraph"/>
      </w:pPr>
      <w:r>
        <w:t xml:space="preserve">Mikroklima</w:t>
      </w:r>
    </w:p>
    <w:bookmarkEnd w:id="277"/>
    <w:bookmarkStart w:id="278"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bookmarkEnd w:id="278"/>
    <w:bookmarkStart w:id="279" w:name="infotool-1"/>
    <w:p>
      <w:pPr>
        <w:pStyle w:val="berschrift3"/>
      </w:pPr>
      <w:r>
        <w:t xml:space="preserve">InfoTool</w:t>
      </w:r>
    </w:p>
    <w:p>
      <w:pPr>
        <w:pStyle w:val="FirstParagraph"/>
      </w:pPr>
      <w:r>
        <w:t xml:space="preserve">Datenerfassung</w:t>
      </w:r>
    </w:p>
    <w:p>
      <w:pPr>
        <w:pStyle w:val="BodyText"/>
      </w:pPr>
      <w:r>
        <w:t xml:space="preserve">Datenvisualisierung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Geokodierung</w:t>
      </w:r>
    </w:p>
    <w:p>
      <w:pPr>
        <w:pStyle w:val="BodyText"/>
      </w:pPr>
      <w:r>
        <w:t xml:space="preserve">Open Geospatial Consortium</w:t>
      </w:r>
    </w:p>
    <w:p>
      <w:pPr>
        <w:pStyle w:val="BodyText"/>
      </w:pPr>
      <w:r>
        <w:t xml:space="preserve">Räumliche Analyse</w:t>
      </w:r>
    </w:p>
    <w:p>
      <w:pPr>
        <w:pStyle w:val="BodyText"/>
      </w:pPr>
      <w:r>
        <w:t xml:space="preserve">Vektordaten</w:t>
      </w:r>
    </w:p>
    <w:p>
      <w:pPr>
        <w:pStyle w:val="BodyText"/>
      </w:pPr>
      <w:r>
        <w:t xml:space="preserve">Web Feature Service</w:t>
      </w:r>
    </w:p>
    <w:p>
      <w:pPr>
        <w:pStyle w:val="BodyText"/>
      </w:pPr>
      <w:r>
        <w:t xml:space="preserve">Web Map Service</w:t>
      </w:r>
    </w:p>
    <w:bookmarkEnd w:id="279"/>
    <w:bookmarkStart w:id="280" w:name="klima"/>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bookmarkEnd w:id="280"/>
    <w:bookmarkStart w:id="281"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81"/>
    <w:bookmarkStart w:id="282" w:name="kritis"/>
    <w:p>
      <w:pPr>
        <w:pStyle w:val="berschrift3"/>
      </w:pPr>
      <w:r>
        <w:t xml:space="preserve">KRITIS</w:t>
      </w:r>
    </w:p>
    <w:p>
      <w:pPr>
        <w:pStyle w:val="FirstParagraph"/>
      </w:pPr>
      <w:r>
        <w:t xml:space="preserve">Blackout</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82"/>
    <w:bookmarkStart w:id="283" w:name="naturgefahr-1"/>
    <w:p>
      <w:pPr>
        <w:pStyle w:val="berschrift3"/>
      </w:pPr>
      <w:r>
        <w:t xml:space="preserve">Naturgefahr</w:t>
      </w:r>
    </w:p>
    <w:p>
      <w:pPr>
        <w:pStyle w:val="FirstParagraph"/>
      </w:pPr>
      <w:r>
        <w:t xml:space="preserve">Exposition</w:t>
      </w:r>
    </w:p>
    <w:p>
      <w:pPr>
        <w:pStyle w:val="BodyText"/>
      </w:pPr>
      <w:r>
        <w:t xml:space="preserve">Starkregenindex</w:t>
      </w:r>
    </w:p>
    <w:bookmarkEnd w:id="283"/>
    <w:bookmarkStart w:id="284" w:name="naturgefahren"/>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84"/>
    <w:bookmarkStart w:id="285"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bookmarkEnd w:id="285"/>
    <w:bookmarkStart w:id="286"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6"/>
    <w:bookmarkStart w:id="287"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bookmarkEnd w:id="287"/>
    <w:bookmarkStart w:id="288"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Bewältigungskapazität</w:t>
      </w:r>
    </w:p>
    <w:p>
      <w:pPr>
        <w:pStyle w:val="BodyText"/>
      </w:pPr>
      <w:r>
        <w:t xml:space="preserve">Gefahrenabwehr</w:t>
      </w:r>
    </w:p>
    <w:p>
      <w:pPr>
        <w:pStyle w:val="BodyText"/>
      </w:pPr>
      <w:r>
        <w:t xml:space="preserve">Hochwasserrisikokarte</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bookmarkEnd w:id="288"/>
    <w:bookmarkStart w:id="289"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89"/>
    <w:bookmarkStart w:id="290"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Sozial-ökologische Transformation</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90"/>
    <w:bookmarkStart w:id="291" w:name="urbaner-retentionsraum"/>
    <w:p>
      <w:pPr>
        <w:pStyle w:val="berschrift3"/>
      </w:pPr>
      <w:r>
        <w:t xml:space="preserve">urbaner Retentionsraum</w:t>
      </w:r>
    </w:p>
    <w:p>
      <w:pPr>
        <w:pStyle w:val="FirstParagraph"/>
      </w:pPr>
      <w:r>
        <w:t xml:space="preserve">Rückhaltevolumen</w:t>
      </w:r>
    </w:p>
    <w:bookmarkEnd w:id="291"/>
    <w:bookmarkStart w:id="292"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92"/>
    <w:bookmarkStart w:id="293"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bookmarkEnd w:id="293"/>
    <w:bookmarkStart w:id="294"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94"/>
    <w:bookmarkStart w:id="295"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bookmarkEnd w:id="295"/>
    <w:bookmarkEnd w:id="296"/>
    <w:bookmarkStart w:id="303" w:name="impressum"/>
    <w:p>
      <w:pPr>
        <w:pStyle w:val="berschrift1"/>
      </w:pPr>
      <w:r>
        <w:t xml:space="preserve">Impressum</w:t>
      </w:r>
    </w:p>
    <w:bookmarkStart w:id="302"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7">
        <w:r>
          <w:rPr>
            <w:rStyle w:val="Hyperlink"/>
          </w:rPr>
          <w:t xml:space="preserve">https://creativecommons.org/licenses/by-sa/4.0/</w:t>
        </w:r>
      </w:hyperlink>
    </w:p>
    <w:p>
      <w:pPr>
        <w:pStyle w:val="BodyText"/>
      </w:pPr>
      <w:r>
        <w:t xml:space="preserve">Code - © 2024 Die Autor:innen. MIT-Lizenz</w:t>
      </w:r>
      <w:r>
        <w:t xml:space="preserve"> </w:t>
      </w:r>
      <w:hyperlink r:id="rId298">
        <w:r>
          <w:rPr>
            <w:rStyle w:val="Hyperlink"/>
          </w:rPr>
          <w:t xml:space="preserve">https://github.com/TIBHannover/semantic-glosar/blob/master/LICENSE</w:t>
        </w:r>
      </w:hyperlink>
      <w:r>
        <w:t xml:space="preserve"> </w:t>
      </w:r>
      <w:r>
        <w:t xml:space="preserve">| Quelle</w:t>
      </w:r>
      <w:r>
        <w:t xml:space="preserve"> </w:t>
      </w:r>
      <w:hyperlink r:id="rId299">
        <w:r>
          <w:rPr>
            <w:rStyle w:val="Hyperlink"/>
          </w:rPr>
          <w:t xml:space="preserve">https://github.com/TIBHannover/co-site-glossar</w:t>
        </w:r>
      </w:hyperlink>
    </w:p>
    <w:p>
      <w:pPr>
        <w:pStyle w:val="BodyText"/>
      </w:pPr>
      <w:r>
        <w:t xml:space="preserve">Daten - Alle produzierten Daten und Datensätze sind</w:t>
      </w:r>
      <w:r>
        <w:t xml:space="preserve"> </w:t>
      </w:r>
      <w:hyperlink r:id="rId300">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301">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302"/>
    <w:bookmarkEnd w:id="303"/>
    <w:bookmarkStart w:id="315" w:name="mitwirkende"/>
    <w:p>
      <w:pPr>
        <w:pStyle w:val="berschrift1"/>
      </w:pPr>
      <w:r>
        <w:t xml:space="preserve">Mitwirkende</w:t>
      </w:r>
    </w:p>
    <w:bookmarkStart w:id="313" w:name="autorinnen"/>
    <w:p>
      <w:pPr>
        <w:pStyle w:val="berschrift2"/>
      </w:pPr>
      <w:r>
        <w:t xml:space="preserve">Autor:innen</w:t>
      </w:r>
    </w:p>
    <w:p>
      <w:pPr>
        <w:pStyle w:val="FirstParagraph"/>
      </w:pPr>
      <w:r>
        <w:t xml:space="preserve">Sandra Alfonso de Nehren,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Ilona Arcaro, TH Köln - Akademie für wissenschaftliche Weiterbildung,</w:t>
      </w:r>
      <w:r>
        <w:t xml:space="preserve"> </w:t>
      </w:r>
      <w:r>
        <w:t xml:space="preserve">Wissenschaftliche Weiterbildung</w:t>
      </w:r>
    </w:p>
    <w:p>
      <w:pPr>
        <w:pStyle w:val="BodyText"/>
      </w:pPr>
      <w:r>
        <w:t xml:space="preserve">Muhammed Enes Bodur,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Nico Buck, (ORCID iD:</w:t>
      </w:r>
      <w:r>
        <w:t xml:space="preserve"> </w:t>
      </w:r>
      <w:hyperlink r:id="rId304">
        <w:r>
          <w:rPr>
            <w:rStyle w:val="Hyperlink"/>
          </w:rPr>
          <w:t xml:space="preserve">0009-0002-9390-1336</w:t>
        </w:r>
      </w:hyperlink>
      <w:r>
        <w:t xml:space="preserve">), TH Köln -</w:t>
      </w:r>
      <w:r>
        <w:t xml:space="preserve"> </w:t>
      </w:r>
      <w:r>
        <w:t xml:space="preserve">Fakultät für Anlagen, Energie- und Maschinensysteme</w:t>
      </w:r>
    </w:p>
    <w:p>
      <w:pPr>
        <w:pStyle w:val="BodyText"/>
      </w:pPr>
      <w:r>
        <w:t xml:space="preserve">Anne Diessner, TH Köln - Fakultät für Raumentwicklung und</w:t>
      </w:r>
      <w:r>
        <w:t xml:space="preserve"> </w:t>
      </w:r>
      <w:r>
        <w:t xml:space="preserve">Infrastruktursysteme</w:t>
      </w:r>
    </w:p>
    <w:p>
      <w:pPr>
        <w:pStyle w:val="BodyText"/>
      </w:pPr>
      <w:r>
        <w:t xml:space="preserve">Lars Dietrich (ORCID iD:</w:t>
      </w:r>
      <w:r>
        <w:t xml:space="preserve"> </w:t>
      </w:r>
      <w:hyperlink r:id="rId305">
        <w:r>
          <w:rPr>
            <w:rStyle w:val="Hyperlink"/>
          </w:rPr>
          <w:t xml:space="preserve">0000-0003-3407-166X</w:t>
        </w:r>
      </w:hyperlink>
      <w:r>
        <w:t xml:space="preserve">), Stadt</w:t>
      </w:r>
      <w:r>
        <w:t xml:space="preserve"> </w:t>
      </w:r>
      <w:r>
        <w:t xml:space="preserve">Leverkusen, NaturGut Ophoven</w:t>
      </w:r>
    </w:p>
    <w:p>
      <w:pPr>
        <w:pStyle w:val="BodyText"/>
      </w:pPr>
      <w:r>
        <w:t xml:space="preserve">Alexander Fekete,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Barbara Elisabeth Frick, TH Köln - Fakultät für Informations- und</w:t>
      </w:r>
      <w:r>
        <w:t xml:space="preserve"> </w:t>
      </w:r>
      <w:r>
        <w:t xml:space="preserve">Kommunikationswissenschaften</w:t>
      </w:r>
    </w:p>
    <w:p>
      <w:pPr>
        <w:pStyle w:val="BodyText"/>
      </w:pPr>
      <w:r>
        <w:t xml:space="preserve">Claudia Frick, TH Köln - Fakultät für Informations- und</w:t>
      </w:r>
      <w:r>
        <w:t xml:space="preserve"> </w:t>
      </w:r>
      <w:r>
        <w:t xml:space="preserve">Kommunikationswissenschaften, Institut für Informationswissenschaft</w:t>
      </w:r>
    </w:p>
    <w:p>
      <w:pPr>
        <w:pStyle w:val="BodyText"/>
      </w:pPr>
      <w:r>
        <w:t xml:space="preserve">Henny Grotehusmann, TH Köln - Fakultät für Raumentwicklung und</w:t>
      </w:r>
      <w:r>
        <w:t xml:space="preserve"> </w:t>
      </w:r>
      <w:r>
        <w:t xml:space="preserve">Infrastruktursysteme</w:t>
      </w:r>
    </w:p>
    <w:p>
      <w:pPr>
        <w:pStyle w:val="BodyText"/>
      </w:pPr>
      <w:r>
        <w:t xml:space="preserve">Lambert Heller, (ORCID iD:</w:t>
      </w:r>
      <w:r>
        <w:t xml:space="preserve"> </w:t>
      </w:r>
      <w:hyperlink r:id="rId306">
        <w:r>
          <w:rPr>
            <w:rStyle w:val="Hyperlink"/>
          </w:rPr>
          <w:t xml:space="preserve">0000-0003-0232-7085</w:t>
        </w:r>
      </w:hyperlink>
      <w:r>
        <w:t xml:space="preserve">), TIB -</w:t>
      </w:r>
      <w:r>
        <w:t xml:space="preserve"> </w:t>
      </w:r>
      <w:r>
        <w:t xml:space="preserve">Leibniz Informationszentrum Technik und Naturwissenschaften</w:t>
      </w:r>
    </w:p>
    <w:p>
      <w:pPr>
        <w:pStyle w:val="BodyText"/>
      </w:pPr>
      <w:r>
        <w:t xml:space="preserve">Chris Hetkämper,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Friederike Holtmann (ORCID iD:</w:t>
      </w:r>
      <w:r>
        <w:t xml:space="preserve"> </w:t>
      </w:r>
      <w:hyperlink r:id="rId307">
        <w:r>
          <w:rPr>
            <w:rStyle w:val="Hyperlink"/>
          </w:rPr>
          <w:t xml:space="preserve">0009-0004-3451-0962</w:t>
        </w:r>
      </w:hyperlink>
      <w:r>
        <w:t xml:space="preserve">), TH Köln -</w:t>
      </w:r>
      <w:r>
        <w:t xml:space="preserve"> </w:t>
      </w:r>
      <w:r>
        <w:t xml:space="preserve">Fakultät für Anlagen, Energie- und Maschinensysteme</w:t>
      </w:r>
    </w:p>
    <w:p>
      <w:pPr>
        <w:pStyle w:val="BodyText"/>
      </w:pPr>
      <w:r>
        <w:t xml:space="preserve">Carla Jakobowsky (ORCID iD:</w:t>
      </w:r>
      <w:r>
        <w:t xml:space="preserve"> </w:t>
      </w:r>
      <w:hyperlink r:id="rId308">
        <w:r>
          <w:rPr>
            <w:rStyle w:val="Hyperlink"/>
          </w:rPr>
          <w:t xml:space="preserve">0009-0007-8663-1856</w:t>
        </w:r>
      </w:hyperlink>
      <w:r>
        <w:t xml:space="preserve">), TH Köln -</w:t>
      </w:r>
      <w:r>
        <w:t xml:space="preserve"> </w:t>
      </w:r>
      <w:r>
        <w:t xml:space="preserve">Fakultät für Anlagen, Energie- und Maschinensysteme</w:t>
      </w:r>
    </w:p>
    <w:p>
      <w:pPr>
        <w:pStyle w:val="BodyText"/>
      </w:pPr>
      <w:r>
        <w:t xml:space="preserve">Johanne Kaufmann, TH Köln - Fakultät für Raumentwicklung und</w:t>
      </w:r>
      <w:r>
        <w:t xml:space="preserve"> </w:t>
      </w:r>
      <w:r>
        <w:t xml:space="preserve">Infrastruktursysteme</w:t>
      </w:r>
    </w:p>
    <w:p>
      <w:pPr>
        <w:pStyle w:val="BodyText"/>
      </w:pPr>
      <w:r>
        <w:t xml:space="preserve">Ines Könsgen (ORCID iD:</w:t>
      </w:r>
      <w:r>
        <w:t xml:space="preserve"> </w:t>
      </w:r>
      <w:hyperlink r:id="rId309">
        <w:r>
          <w:rPr>
            <w:rStyle w:val="Hyperlink"/>
          </w:rPr>
          <w:t xml:space="preserve">0009-0009-2260-8301</w:t>
        </w:r>
      </w:hyperlink>
      <w:r>
        <w:t xml:space="preserve">), TH Köln -</w:t>
      </w:r>
      <w:r>
        <w:t xml:space="preserve"> </w:t>
      </w:r>
      <w:r>
        <w:t xml:space="preserve">Fakultät für Raumentwicklung und Infrastruktursysteme</w:t>
      </w:r>
    </w:p>
    <w:p>
      <w:pPr>
        <w:pStyle w:val="BodyText"/>
      </w:pPr>
      <w:r>
        <w:t xml:space="preserve">Silvia Marie Krautzik,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Georg Lamberty,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Julia Laux (ORCID iD:</w:t>
      </w:r>
      <w:r>
        <w:t xml:space="preserve"> </w:t>
      </w:r>
      <w:hyperlink r:id="rId310">
        <w:r>
          <w:rPr>
            <w:rStyle w:val="Hyperlink"/>
          </w:rPr>
          <w:t xml:space="preserve">&lt;https://orcid.org/0009-0002-5293-561X&gt;</w:t>
        </w:r>
      </w:hyperlink>
      <w:r>
        <w:t xml:space="preserve">,</w:t>
      </w:r>
      <w:r>
        <w:t xml:space="preserve"> </w:t>
      </w:r>
      <w:r>
        <w:t xml:space="preserve">TH Köln - Fakultät für Informations- und Kommunikationswissenschaften</w:t>
      </w:r>
    </w:p>
    <w:p>
      <w:pPr>
        <w:pStyle w:val="BodyText"/>
      </w:pPr>
      <w:r>
        <w:t xml:space="preserve">Isabell Mayer, Kolpingstadt Kerpen, Fachbereich Nachhaltigkeit</w:t>
      </w:r>
    </w:p>
    <w:p>
      <w:pPr>
        <w:pStyle w:val="BodyText"/>
      </w:pPr>
      <w:r>
        <w:t xml:space="preserve">Silke Meilwes,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Larissa Müller, TH Köln - Fakultät für Anlagen, Energie- und</w:t>
      </w:r>
      <w:r>
        <w:t xml:space="preserve"> </w:t>
      </w:r>
      <w:r>
        <w:t xml:space="preserve">Maschinensysteme, Institut für Produktentwicklung und</w:t>
      </w:r>
      <w:r>
        <w:t xml:space="preserve"> </w:t>
      </w:r>
      <w:r>
        <w:t xml:space="preserve">Konstruktionstechnik (IPK)</w:t>
      </w:r>
    </w:p>
    <w:p>
      <w:pPr>
        <w:pStyle w:val="BodyText"/>
      </w:pPr>
      <w:r>
        <w:t xml:space="preserve">Antti Olbrisch, Kolpingstadt Kerpen, Fachbereich Klima &amp; Umwelt</w:t>
      </w:r>
    </w:p>
    <w:p>
      <w:pPr>
        <w:pStyle w:val="BodyText"/>
      </w:pPr>
      <w:r>
        <w:t xml:space="preserve">Juan Luis Ramirez Duval, TH Köln - Fakultät für Raumentwicklung und</w:t>
      </w:r>
      <w:r>
        <w:t xml:space="preserve"> </w:t>
      </w:r>
      <w:r>
        <w:t xml:space="preserve">Infrastruktursysteme</w:t>
      </w:r>
    </w:p>
    <w:p>
      <w:pPr>
        <w:pStyle w:val="BodyText"/>
      </w:pPr>
      <w:r>
        <w:t xml:space="preserve">Lars Ribbe,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Johanna Schmidt (ORCID ID:</w:t>
      </w:r>
      <w:r>
        <w:t xml:space="preserve"> </w:t>
      </w:r>
      <w:hyperlink r:id="rId311">
        <w:r>
          <w:rPr>
            <w:rStyle w:val="Hyperlink"/>
          </w:rPr>
          <w:t xml:space="preserve">https://orcid.org/0000-0001-8827-9461</w:t>
        </w:r>
      </w:hyperlink>
      <w:r>
        <w:t xml:space="preserve">)</w:t>
      </w:r>
      <w:r>
        <w:t xml:space="preserve"> </w:t>
      </w:r>
      <w:r>
        <w:t xml:space="preserve">Stadt Leverkusen, Fachbereich Mobilität und Klimaschutz</w:t>
      </w:r>
    </w:p>
    <w:p>
      <w:pPr>
        <w:pStyle w:val="BodyText"/>
      </w:pPr>
      <w:r>
        <w:t xml:space="preserve">Surendra Shiwakoti, TH Köln - Fakultät für Raumentwicklung und</w:t>
      </w:r>
      <w:r>
        <w:t xml:space="preserve"> </w:t>
      </w:r>
      <w:r>
        <w:t xml:space="preserve">Infrastruktursysteme</w:t>
      </w:r>
    </w:p>
    <w:p>
      <w:pPr>
        <w:pStyle w:val="BodyText"/>
      </w:pPr>
      <w:r>
        <w:t xml:space="preserve">Jan Terschüren (ORCID iD:</w:t>
      </w:r>
      <w:r>
        <w:t xml:space="preserve"> </w:t>
      </w:r>
      <w:hyperlink r:id="rId312">
        <w:r>
          <w:rPr>
            <w:rStyle w:val="Hyperlink"/>
          </w:rPr>
          <w:t xml:space="preserve">0009-0000-9016-4831</w:t>
        </w:r>
      </w:hyperlink>
      <w:r>
        <w:t xml:space="preserve">), TH Köln -</w:t>
      </w:r>
      <w:r>
        <w:t xml:space="preserve"> </w:t>
      </w:r>
      <w:r>
        <w:t xml:space="preserve">Fakultät für Anlagen, Energie- und Maschinensysteme, Institut für</w:t>
      </w:r>
      <w:r>
        <w:t xml:space="preserve"> </w:t>
      </w:r>
      <w:r>
        <w:t xml:space="preserve">Produktentwicklung und Konstruktionstechnik (IPK)</w:t>
      </w:r>
    </w:p>
    <w:p>
      <w:pPr>
        <w:pStyle w:val="BodyText"/>
      </w:pPr>
      <w:r>
        <w:t xml:space="preserve">Alexandra Tönies, TH Köln - Fakultät für Anlagen, Energie- und</w:t>
      </w:r>
      <w:r>
        <w:t xml:space="preserve"> </w:t>
      </w:r>
      <w:r>
        <w:t xml:space="preserve">Maschinensysteme, Institut für Produktentwicklung und</w:t>
      </w:r>
      <w:r>
        <w:t xml:space="preserve"> </w:t>
      </w:r>
      <w:r>
        <w:t xml:space="preserve">Konstruktionstechnik (IPK)</w:t>
      </w:r>
    </w:p>
    <w:bookmarkEnd w:id="313"/>
    <w:bookmarkStart w:id="314" w:name="programmierung"/>
    <w:p>
      <w:pPr>
        <w:pStyle w:val="berschrift2"/>
      </w:pPr>
      <w:r>
        <w:t xml:space="preserve">Programmierung</w:t>
      </w:r>
    </w:p>
    <w:p>
      <w:pPr>
        <w:pStyle w:val="FirstParagraph"/>
      </w:pPr>
      <w:r>
        <w:t xml:space="preserve">Worthington, S., Bailly, K., &amp; Rahr, A. (2024). Co-Site Glossar (Version</w:t>
      </w:r>
      <w:r>
        <w:t xml:space="preserve"> </w:t>
      </w:r>
      <w:r>
        <w:t xml:space="preserve">0.0.1a) [Computer software].</w:t>
      </w:r>
      <w:r>
        <w:t xml:space="preserve"> </w:t>
      </w:r>
      <w:hyperlink r:id="rId299">
        <w:r>
          <w:rPr>
            <w:rStyle w:val="Hyperlink"/>
          </w:rPr>
          <w:t xml:space="preserve">https://github.com/TIBHannover/co-site-glossar</w:t>
        </w:r>
      </w:hyperlink>
    </w:p>
    <w:bookmarkEnd w:id="314"/>
    <w:bookmarkEnd w:id="315"/>
    <w:bookmarkStart w:id="339" w:name="literatur"/>
    <w:p>
      <w:pPr>
        <w:pStyle w:val="berschrift1"/>
      </w:pPr>
      <w:r>
        <w:t xml:space="preserve">Literatur</w:t>
      </w:r>
    </w:p>
    <w:bookmarkStart w:id="317" w:name="verwaltung-von-referenzen"/>
    <w:p>
      <w:pPr>
        <w:pStyle w:val="berschrift2"/>
      </w:pPr>
      <w:r>
        <w:t xml:space="preserve">Verwaltung von Referenzen</w:t>
      </w:r>
    </w:p>
    <w:p>
      <w:pPr>
        <w:pStyle w:val="FirstParagraph"/>
      </w:pPr>
      <w:r>
        <w:t xml:space="preserve">Zotero Group:</w:t>
      </w:r>
      <w:r>
        <w:t xml:space="preserve"> </w:t>
      </w:r>
      <w:hyperlink r:id="rId316">
        <w:r>
          <w:rPr>
            <w:rStyle w:val="Hyperlink"/>
          </w:rPr>
          <w:t xml:space="preserve">https://www.zotero.org/groups/5631396/co-site_book_sprints/library</w:t>
        </w:r>
      </w:hyperlink>
    </w:p>
    <w:bookmarkEnd w:id="317"/>
    <w:bookmarkStart w:id="331"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18">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19">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20">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21">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22">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23">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24">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25">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26">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27">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28">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29">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30">
        <w:r>
          <w:rPr>
            <w:rStyle w:val="Hyperlink"/>
          </w:rPr>
          <w:t xml:space="preserve">http://www.undrr.org/drr-glossary/terminology</w:t>
        </w:r>
      </w:hyperlink>
      <w:r>
        <w:t xml:space="preserve">.</w:t>
      </w:r>
    </w:p>
    <w:bookmarkEnd w:id="331"/>
    <w:bookmarkStart w:id="334"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32">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33">
        <w:r>
          <w:rPr>
            <w:rStyle w:val="Hyperlink"/>
          </w:rPr>
          <w:t xml:space="preserve">https://www.ufz.de/teebde/index.php?de=43784</w:t>
        </w:r>
      </w:hyperlink>
      <w:r>
        <w:t xml:space="preserve">.</w:t>
      </w:r>
    </w:p>
    <w:bookmarkEnd w:id="334"/>
    <w:bookmarkStart w:id="336"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35">
        <w:r>
          <w:rPr>
            <w:rStyle w:val="Hyperlink"/>
          </w:rPr>
          <w:t xml:space="preserve">https://doi.org/10.1080/15710882.2022.2123928</w:t>
        </w:r>
      </w:hyperlink>
    </w:p>
    <w:bookmarkEnd w:id="336"/>
    <w:bookmarkStart w:id="338"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37">
        <w:r>
          <w:rPr>
            <w:rStyle w:val="Hyperlink"/>
          </w:rPr>
          <w:t xml:space="preserve">https://wirtschaftslexikon.gabler.de/definition/vuca-119684</w:t>
        </w:r>
      </w:hyperlink>
      <w:r>
        <w:t xml:space="preserve">.</w:t>
      </w:r>
    </w:p>
    <w:bookmarkEnd w:id="338"/>
    <w:bookmarkEnd w:id="339"/>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10" Target="http://0009-0002-5293-561X" TargetMode="External" /><Relationship Type="http://schemas.openxmlformats.org/officeDocument/2006/relationships/hyperlink" Id="rId330" Target="http://www.undrr.org/drr-glossary/terminology" TargetMode="External" /><Relationship Type="http://schemas.openxmlformats.org/officeDocument/2006/relationships/hyperlink" Id="rId325" Target="https://apps.ipcc.ch/glossary/" TargetMode="External" /><Relationship Type="http://schemas.openxmlformats.org/officeDocument/2006/relationships/hyperlink" Id="rId297" Target="https://creativecommons.org/licenses/by-sa/4.0/" TargetMode="External" /><Relationship Type="http://schemas.openxmlformats.org/officeDocument/2006/relationships/hyperlink" Id="rId300" Target="https://creativecommons.org/publicdomain/zero/1.0/" TargetMode="External" /><Relationship Type="http://schemas.openxmlformats.org/officeDocument/2006/relationships/hyperlink" Id="rId327" Target="https://csrc.nist.gov/glossary" TargetMode="External" /><Relationship Type="http://schemas.openxmlformats.org/officeDocument/2006/relationships/hyperlink" Id="rId335" Target="https://doi.org/10.1080/15710882.2022.2123928" TargetMode="External" /><Relationship Type="http://schemas.openxmlformats.org/officeDocument/2006/relationships/hyperlink" Id="rId328" Target="https://doi.org/10.1109/37.969131" TargetMode="External" /><Relationship Type="http://schemas.openxmlformats.org/officeDocument/2006/relationships/hyperlink" Id="rId324" Target="https://doi.org/10.35468/wbeb2022-028" TargetMode="External" /><Relationship Type="http://schemas.openxmlformats.org/officeDocument/2006/relationships/hyperlink" Id="rId326" Target="https://doi.org/10.35468/wbeb2022-030" TargetMode="External" /><Relationship Type="http://schemas.openxmlformats.org/officeDocument/2006/relationships/hyperlink" Id="rId318" Target="https://doi.org/10.35468/wbeb2022-109" TargetMode="External" /><Relationship Type="http://schemas.openxmlformats.org/officeDocument/2006/relationships/hyperlink" Id="rId319" Target="https://doi.org/10.35468/wbeb2022-237" TargetMode="External" /><Relationship Type="http://schemas.openxmlformats.org/officeDocument/2006/relationships/hyperlink" Id="rId329" Target="https://doi.org/10.35468/wbeb2022-299" TargetMode="External" /><Relationship Type="http://schemas.openxmlformats.org/officeDocument/2006/relationships/hyperlink" Id="rId299" Target="https://github.com/TIBHannover/co-site-glossar" TargetMode="External" /><Relationship Type="http://schemas.openxmlformats.org/officeDocument/2006/relationships/hyperlink" Id="rId298" Target="https://github.com/TIBHannover/co-site-glossar/blob/master/LICENSE" TargetMode="External" /><Relationship Type="http://schemas.openxmlformats.org/officeDocument/2006/relationships/hyperlink" Id="rId311" Target="https://orcid.org/0000-0001-8827-9461" TargetMode="External" /><Relationship Type="http://schemas.openxmlformats.org/officeDocument/2006/relationships/hyperlink" Id="rId306" Target="https://orcid.org/0000-0003-0232-7085" TargetMode="External" /><Relationship Type="http://schemas.openxmlformats.org/officeDocument/2006/relationships/hyperlink" Id="rId305" Target="https://orcid.org/0000-0003-3407-166X" TargetMode="External" /><Relationship Type="http://schemas.openxmlformats.org/officeDocument/2006/relationships/hyperlink" Id="rId312" Target="https://orcid.org/0009-0000-9016-4831" TargetMode="External" /><Relationship Type="http://schemas.openxmlformats.org/officeDocument/2006/relationships/hyperlink" Id="rId304" Target="https://orcid.org/0009-0002-9390-1336" TargetMode="External" /><Relationship Type="http://schemas.openxmlformats.org/officeDocument/2006/relationships/hyperlink" Id="rId307" Target="https://orcid.org/0009-0004-3451-0962" TargetMode="External" /><Relationship Type="http://schemas.openxmlformats.org/officeDocument/2006/relationships/hyperlink" Id="rId308" Target="https://orcid.org/0009-0007-8663-1856" TargetMode="External" /><Relationship Type="http://schemas.openxmlformats.org/officeDocument/2006/relationships/hyperlink" Id="rId309" Target="https://orcid.org/0009-0009-2260-8301" TargetMode="External" /><Relationship Type="http://schemas.openxmlformats.org/officeDocument/2006/relationships/hyperlink" Id="rId340" Target="https://projects.tib.eu/nextgen-books/" TargetMode="External" /><Relationship Type="http://schemas.openxmlformats.org/officeDocument/2006/relationships/hyperlink" Id="rId341" Target="https://projects.tib.eu/nextgen-books/datenschutz/" TargetMode="External" /><Relationship Type="http://schemas.openxmlformats.org/officeDocument/2006/relationships/hyperlink" Id="rId342" Target="https://projects.tib.eu/nextgen-books/impressum/" TargetMode="External" /><Relationship Type="http://schemas.openxmlformats.org/officeDocument/2006/relationships/hyperlink" Id="rId323" Target="https://websites.fraunhofer.de/CIPedia/index.php/CIPedia%C2%A9_Main_Page" TargetMode="External" /><Relationship Type="http://schemas.openxmlformats.org/officeDocument/2006/relationships/hyperlink" Id="rId337" Target="https://wirtschaftslexikon.gabler.de/definition/vuca-119684" TargetMode="External" /><Relationship Type="http://schemas.openxmlformats.org/officeDocument/2006/relationships/hyperlink" Id="rId322" Target="https://www.bbk.bund.de/DE/Infothek/Glossar/glossar_node.html" TargetMode="External" /><Relationship Type="http://schemas.openxmlformats.org/officeDocument/2006/relationships/hyperlink" Id="rId320" Target="https://www.bbk.bund.de/DE/Themen/Kritische-Infrastrukturen/Sektoren-Branchen/sektoren-branchen_node.html" TargetMode="External" /><Relationship Type="http://schemas.openxmlformats.org/officeDocument/2006/relationships/hyperlink" Id="rId332" Target="https://www.dwd.de/DE/forschung/klima_umwelt/klimawirk/klimawirk_node.html" TargetMode="External" /><Relationship Type="http://schemas.openxmlformats.org/officeDocument/2006/relationships/hyperlink" Id="rId301" Target="https://www.go-fair.org/fair-principles/" TargetMode="External" /><Relationship Type="http://schemas.openxmlformats.org/officeDocument/2006/relationships/hyperlink" Id="rId321"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3" Target="https://www.ufz.de/teebde/index.php?de=43784" TargetMode="External" /><Relationship Type="http://schemas.openxmlformats.org/officeDocument/2006/relationships/hyperlink" Id="rId316"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10" Target="http://0009-0002-5293-561X" TargetMode="External" /><Relationship Type="http://schemas.openxmlformats.org/officeDocument/2006/relationships/hyperlink" Id="rId330" Target="http://www.undrr.org/drr-glossary/terminology" TargetMode="External" /><Relationship Type="http://schemas.openxmlformats.org/officeDocument/2006/relationships/hyperlink" Id="rId325" Target="https://apps.ipcc.ch/glossary/" TargetMode="External" /><Relationship Type="http://schemas.openxmlformats.org/officeDocument/2006/relationships/hyperlink" Id="rId297" Target="https://creativecommons.org/licenses/by-sa/4.0/" TargetMode="External" /><Relationship Type="http://schemas.openxmlformats.org/officeDocument/2006/relationships/hyperlink" Id="rId300" Target="https://creativecommons.org/publicdomain/zero/1.0/" TargetMode="External" /><Relationship Type="http://schemas.openxmlformats.org/officeDocument/2006/relationships/hyperlink" Id="rId327" Target="https://csrc.nist.gov/glossary" TargetMode="External" /><Relationship Type="http://schemas.openxmlformats.org/officeDocument/2006/relationships/hyperlink" Id="rId335" Target="https://doi.org/10.1080/15710882.2022.2123928" TargetMode="External" /><Relationship Type="http://schemas.openxmlformats.org/officeDocument/2006/relationships/hyperlink" Id="rId328" Target="https://doi.org/10.1109/37.969131" TargetMode="External" /><Relationship Type="http://schemas.openxmlformats.org/officeDocument/2006/relationships/hyperlink" Id="rId324" Target="https://doi.org/10.35468/wbeb2022-028" TargetMode="External" /><Relationship Type="http://schemas.openxmlformats.org/officeDocument/2006/relationships/hyperlink" Id="rId326" Target="https://doi.org/10.35468/wbeb2022-030" TargetMode="External" /><Relationship Type="http://schemas.openxmlformats.org/officeDocument/2006/relationships/hyperlink" Id="rId318" Target="https://doi.org/10.35468/wbeb2022-109" TargetMode="External" /><Relationship Type="http://schemas.openxmlformats.org/officeDocument/2006/relationships/hyperlink" Id="rId319" Target="https://doi.org/10.35468/wbeb2022-237" TargetMode="External" /><Relationship Type="http://schemas.openxmlformats.org/officeDocument/2006/relationships/hyperlink" Id="rId329" Target="https://doi.org/10.35468/wbeb2022-299" TargetMode="External" /><Relationship Type="http://schemas.openxmlformats.org/officeDocument/2006/relationships/hyperlink" Id="rId299" Target="https://github.com/TIBHannover/co-site-glossar" TargetMode="External" /><Relationship Type="http://schemas.openxmlformats.org/officeDocument/2006/relationships/hyperlink" Id="rId298" Target="https://github.com/TIBHannover/co-site-glossar/blob/master/LICENSE" TargetMode="External" /><Relationship Type="http://schemas.openxmlformats.org/officeDocument/2006/relationships/hyperlink" Id="rId311" Target="https://orcid.org/0000-0001-8827-9461" TargetMode="External" /><Relationship Type="http://schemas.openxmlformats.org/officeDocument/2006/relationships/hyperlink" Id="rId306" Target="https://orcid.org/0000-0003-0232-7085" TargetMode="External" /><Relationship Type="http://schemas.openxmlformats.org/officeDocument/2006/relationships/hyperlink" Id="rId305" Target="https://orcid.org/0000-0003-3407-166X" TargetMode="External" /><Relationship Type="http://schemas.openxmlformats.org/officeDocument/2006/relationships/hyperlink" Id="rId312" Target="https://orcid.org/0009-0000-9016-4831" TargetMode="External" /><Relationship Type="http://schemas.openxmlformats.org/officeDocument/2006/relationships/hyperlink" Id="rId304" Target="https://orcid.org/0009-0002-9390-1336" TargetMode="External" /><Relationship Type="http://schemas.openxmlformats.org/officeDocument/2006/relationships/hyperlink" Id="rId307" Target="https://orcid.org/0009-0004-3451-0962" TargetMode="External" /><Relationship Type="http://schemas.openxmlformats.org/officeDocument/2006/relationships/hyperlink" Id="rId308" Target="https://orcid.org/0009-0007-8663-1856" TargetMode="External" /><Relationship Type="http://schemas.openxmlformats.org/officeDocument/2006/relationships/hyperlink" Id="rId309" Target="https://orcid.org/0009-0009-2260-8301" TargetMode="External" /><Relationship Type="http://schemas.openxmlformats.org/officeDocument/2006/relationships/hyperlink" Id="rId340" Target="https://projects.tib.eu/nextgen-books/" TargetMode="External" /><Relationship Type="http://schemas.openxmlformats.org/officeDocument/2006/relationships/hyperlink" Id="rId341" Target="https://projects.tib.eu/nextgen-books/datenschutz/" TargetMode="External" /><Relationship Type="http://schemas.openxmlformats.org/officeDocument/2006/relationships/hyperlink" Id="rId342" Target="https://projects.tib.eu/nextgen-books/impressum/" TargetMode="External" /><Relationship Type="http://schemas.openxmlformats.org/officeDocument/2006/relationships/hyperlink" Id="rId323" Target="https://websites.fraunhofer.de/CIPedia/index.php/CIPedia%C2%A9_Main_Page" TargetMode="External" /><Relationship Type="http://schemas.openxmlformats.org/officeDocument/2006/relationships/hyperlink" Id="rId337" Target="https://wirtschaftslexikon.gabler.de/definition/vuca-119684" TargetMode="External" /><Relationship Type="http://schemas.openxmlformats.org/officeDocument/2006/relationships/hyperlink" Id="rId322" Target="https://www.bbk.bund.de/DE/Infothek/Glossar/glossar_node.html" TargetMode="External" /><Relationship Type="http://schemas.openxmlformats.org/officeDocument/2006/relationships/hyperlink" Id="rId320" Target="https://www.bbk.bund.de/DE/Themen/Kritische-Infrastrukturen/Sektoren-Branchen/sektoren-branchen_node.html" TargetMode="External" /><Relationship Type="http://schemas.openxmlformats.org/officeDocument/2006/relationships/hyperlink" Id="rId332" Target="https://www.dwd.de/DE/forschung/klima_umwelt/klimawirk/klimawirk_node.html" TargetMode="External" /><Relationship Type="http://schemas.openxmlformats.org/officeDocument/2006/relationships/hyperlink" Id="rId301" Target="https://www.go-fair.org/fair-principles/" TargetMode="External" /><Relationship Type="http://schemas.openxmlformats.org/officeDocument/2006/relationships/hyperlink" Id="rId321"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3" Target="https://www.ufz.de/teebde/index.php?de=43784" TargetMode="External" /><Relationship Type="http://schemas.openxmlformats.org/officeDocument/2006/relationships/hyperlink" Id="rId316"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 Co-Kreation in der Region – Systemisch und innovativ Transfer entwickeln</dc:title>
  <dc:creator/>
  <cp:keywords/>
  <dcterms:created xsi:type="dcterms:W3CDTF">2024-12-17T13:02:47Z</dcterms:created>
  <dcterms:modified xsi:type="dcterms:W3CDTF">2024-12-17T13:02:47Z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17. Dezember 2024, 14:02:16</vt:lpwstr>
  </property>
  <property fmtid="{D5CDD505-2E9C-101B-9397-08002B2CF9AE}" pid="8" name="date-format">
    <vt:lpwstr>DD. MMMM YYYY, HH:mm:ss</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(Co-Site)</vt:lpwstr>
  </property>
  <property fmtid="{D5CDD505-2E9C-101B-9397-08002B2CF9AE}" pid="14" name="template-partials">
    <vt:lpwstr/>
  </property>
  <property fmtid="{D5CDD505-2E9C-101B-9397-08002B2CF9AE}" pid="15" name="toc-title">
    <vt:lpwstr>Table of contents</vt:lpwstr>
  </property>
</Properties>
</file>