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2024-12-17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7"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Augmented Reality (dt. augmentierte Realität, auch erweiterte Realität genannt) bezeichnet virtuelle Inhalte, wie starre oder bewegte Objekte, die mit der realen Umgebung überlagert werden. Diese überlagerten Zusatzinformationen werden in Echtzeit von Geräten wie Smartphones, Tablets oder speziellen AR-Brillen bereitgestellt und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Elementen, die eine Vielzahl von ökologischen, sozialen und wirtschaftlichen Funktionen bereitstellen. Strategisch werden diese z.B. zur Bewältigung von Problemen im Wasserkreislauf (z.B. Wasseraufbereitung, Dürren, Regenwasserbewirtschaftung) angelegt. Natürliche Systeme sind u.a. Seen oder Flüsse; geplante Systeme umfassen Retentionsflächen, oder Flussrenaturierungen</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(Co-Site) der TH Köln, das vom Bundesministerium für Bildung und Forschung (BMBF) innerhalb der Initiative Innovative Hochschule gefördert wird</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Verwandt:</w:t>
      </w:r>
      <w:r>
        <w:rPr>
          <w:b/>
          <w:bCs/>
        </w:rPr>
        <w:t xml:space="preserve"> </w:t>
      </w:r>
      <w:r>
        <w:rPr>
          <w:b/>
          <w:bCs/>
        </w:rPr>
        <w:t xml:space="preserve"> </w:t>
      </w:r>
      <w:r>
        <w:t xml:space="preserve"> </w:t>
      </w:r>
      <w:hyperlink w:anchor="extensive-dachbegrünung">
        <w:r>
          <w:rPr>
            <w:rStyle w:val="Hyperlink"/>
          </w:rPr>
          <w:t xml:space="preserve">Extensive Dachbegrünung</w:t>
        </w:r>
      </w:hyperlink>
      <w:r>
        <w:t xml:space="preserve">,</w:t>
      </w:r>
      <w:r>
        <w:t xml:space="preserve"> </w:t>
      </w:r>
      <w:hyperlink w:anchor="intensive-dachbegrünung">
        <w:r>
          <w:rPr>
            <w:rStyle w:val="Hyperlink"/>
          </w:rPr>
          <w:t xml:space="preserve">Intensive Dachbegrünung</w:t>
        </w:r>
      </w:hyperlink>
      <w:r>
        <w:t xml:space="preserve"> </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Das Wasser verbleibt auf dem Grundstück.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Gruppe von Personen, die von den Maßnahmen des Reallabors angesprochen und durch Kommunikation und co-kreative Formate in den Entwicklungsprozess eingebunden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Man unterscheidet meteorologische (v.a. Niederschlag), landwirtschaftliche (v.a. Bodenfeuchtigkeit), hydrologische (v.a. auf Abfluss) und sozio-ökonomische Dürren (v.a Auswirkung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Es nutzt oft agile Methoden zur Organisation und kontinuierlichen Verbesserung seines Arbeitsauftrags und seiner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Exposition beschreibt die Ausgesetztheit einer Person, einer Stadt, eines Gebäudes, sonstiger Infrastruktur oder eines Ökosytsems gegenüber seiner Umgebungseinflüsse z. B. einer Gefahr. Eine hohe Exponiertheit begünstigt das Risiko.</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gesellschaftlichen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beispielsweise in VR-Systemen verwendet werden, um das System an die Blickrichtung anzupassen und eine natürlichere Interaktion zu ermöglichen sowie um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 (dt. spielebasiertes Lernen) steht für das Lernen mit Spielen, sowohl mit Lernspielen als auch mit „normalen“ Spielen. Durch interaktive Elemente können komplexe Themen auf spielerische Weise verständlich gemacht werden. GBL fördert die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 Dabei können Elemente wie Punktesysteme, Belohnungen oder Ranglisten eingesetzt werden.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92"/>
    <w:bookmarkStart w:id="93"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3"/>
    <w:bookmarkStart w:id="94"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4"/>
    <w:bookmarkStart w:id="95"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5"/>
    <w:bookmarkStart w:id="96"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6"/>
    <w:bookmarkStart w:id="97"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7"/>
    <w:bookmarkStart w:id="98"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8"/>
    <w:bookmarkStart w:id="99"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9"/>
    <w:bookmarkStart w:id="100"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100"/>
    <w:bookmarkStart w:id="101"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1"/>
    <w:bookmarkStart w:id="102"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2"/>
    <w:bookmarkStart w:id="103"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3"/>
    <w:bookmarkStart w:id="104"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4"/>
    <w:bookmarkStart w:id="105"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5"/>
    <w:bookmarkStart w:id="106"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6"/>
    <w:bookmarkStart w:id="107"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7"/>
    <w:bookmarkStart w:id="10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8"/>
    <w:bookmarkStart w:id="109" w:name="global-change"/>
    <w:p>
      <w:pPr>
        <w:pStyle w:val="berschrift3"/>
      </w:pPr>
      <w:r>
        <w:t xml:space="preserve">Global Change</w:t>
      </w:r>
    </w:p>
    <w:p>
      <w:pPr>
        <w:pStyle w:val="FirstParagraph"/>
      </w:pPr>
      <w:r>
        <w:t xml:space="preserve">Umfassende und langfristige Veränderungen des Erdsystems. Dies umfasst Klimawandel, Landnutzungsänderungen, Urbanisierung, Verlust der Biodiversität und Verschmutzung, unter starkem und zunehmendem Einfluss durch Menschen.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9"/>
    <w:bookmarkStart w:id="11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10"/>
    <w:bookmarkStart w:id="11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1"/>
    <w:bookmarkStart w:id="112"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2"/>
    <w:bookmarkStart w:id="113"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3"/>
    <w:bookmarkStart w:id="114"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4"/>
    <w:bookmarkStart w:id="115"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5"/>
    <w:bookmarkStart w:id="116"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6"/>
    <w:bookmarkStart w:id="117"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7"/>
    <w:bookmarkStart w:id="118" w:name="hochwasser"/>
    <w:p>
      <w:pPr>
        <w:pStyle w:val="berschrift3"/>
      </w:pPr>
      <w:r>
        <w:t xml:space="preserve">Hochwasser</w:t>
      </w:r>
    </w:p>
    <w:p>
      <w:pPr>
        <w:pStyle w:val="FirstParagraph"/>
      </w:pPr>
      <w:r>
        <w:t xml:space="preserve">Hochwasser ist eine zeitlich beschränkte Überschwemmung von normalerweise nicht mit Wasser bedecktem Land.</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8"/>
    <w:bookmarkStart w:id="119"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Überflutung durch Pegelanstieg von i.d.R. Oberflächengewässern und der zu erwartenden Fließgeschwindigkeit, Ausdehnung und Tiefe; informiert allein über die mögliche Gefahr</w:t>
      </w:r>
    </w:p>
    <w:p>
      <w:r>
        <w:pict>
          <v:rect style="width:0;height:1.5pt" o:hralign="center" o:hrstd="t" o:hr="t"/>
        </w:pict>
      </w:r>
    </w:p>
    <w:bookmarkEnd w:id="119"/>
    <w:bookmarkStart w:id="120"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möglicherweise betroffen sind.</w:t>
      </w:r>
    </w:p>
    <w:p>
      <w:r>
        <w:pict>
          <v:rect style="width:0;height:1.5pt" o:hralign="center" o:hrstd="t" o:hr="t"/>
        </w:pict>
      </w:r>
    </w:p>
    <w:bookmarkEnd w:id="120"/>
    <w:bookmarkStart w:id="121"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1"/>
    <w:bookmarkStart w:id="122"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2"/>
    <w:bookmarkStart w:id="123"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3"/>
    <w:bookmarkStart w:id="124" w:name="infrastruktur"/>
    <w:p>
      <w:pPr>
        <w:pStyle w:val="berschrift3"/>
      </w:pPr>
      <w:r>
        <w:t xml:space="preserve">Infrastruktur</w:t>
      </w:r>
    </w:p>
    <w:p>
      <w:pPr>
        <w:pStyle w:val="FirstParagraph"/>
      </w:pPr>
      <w:r>
        <w:t xml:space="preserve">Materielles, institutionelles, ökologisches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4"/>
    <w:bookmarkStart w:id="125"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5"/>
    <w:bookmarkStart w:id="126" w:name="interdependenz"/>
    <w:p>
      <w:pPr>
        <w:pStyle w:val="berschrift3"/>
      </w:pPr>
      <w:r>
        <w:t xml:space="preserve">Interdependenz</w:t>
      </w:r>
    </w:p>
    <w:p>
      <w:pPr>
        <w:pStyle w:val="FirstParagraph"/>
      </w:pPr>
      <w:r>
        <w:t xml:space="preserve">Interaktion oder gegenseitige Beeinflussung, z.B. zwischen verschiedenen kritischen Infrastrukturen.</w:t>
      </w:r>
    </w:p>
    <w:p>
      <w:r>
        <w:pict>
          <v:rect style="width:0;height:1.5pt" o:hralign="center" o:hrstd="t" o:hr="t"/>
        </w:pict>
      </w:r>
    </w:p>
    <w:bookmarkEnd w:id="126"/>
    <w:bookmarkStart w:id="127"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Verwandt:</w:t>
      </w:r>
      <w:r>
        <w:rPr>
          <w:b/>
          <w:bCs/>
        </w:rPr>
        <w:t xml:space="preserve"> </w:t>
      </w:r>
      <w:r>
        <w:rPr>
          <w:b/>
          <w:bCs/>
        </w:rPr>
        <w:t xml:space="preserve"> </w:t>
      </w:r>
      <w:r>
        <w:t xml:space="preserve"> </w:t>
      </w:r>
      <w:hyperlink w:anchor="externe-wissenschaftskommunikation">
        <w:r>
          <w:rPr>
            <w:rStyle w:val="Hyperlink"/>
          </w:rPr>
          <w:t xml:space="preserve">Externe Wissenschaftskommunikation</w:t>
        </w:r>
      </w:hyperlink>
      <w:r>
        <w:t xml:space="preserve"> </w:t>
      </w:r>
    </w:p>
    <w:p>
      <w:r>
        <w:pict>
          <v:rect style="width:0;height:1.5pt" o:hralign="center" o:hrstd="t" o:hr="t"/>
        </w:pict>
      </w:r>
    </w:p>
    <w:bookmarkEnd w:id="127"/>
    <w:bookmarkStart w:id="128"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8"/>
    <w:bookmarkStart w:id="129"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9"/>
    <w:bookmarkStart w:id="13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30"/>
    <w:bookmarkStart w:id="13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1"/>
    <w:bookmarkStart w:id="132"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synonym zu Klimawandelanpassung verwendet.</w:t>
      </w:r>
    </w:p>
    <w:p>
      <w:pPr>
        <w:pStyle w:val="BodyText"/>
      </w:pPr>
      <w:r>
        <w:rPr>
          <w:b/>
          <w:bCs/>
        </w:rPr>
        <w:t xml:space="preserve">Verwandt:</w:t>
      </w:r>
      <w:r>
        <w:rPr>
          <w:b/>
          <w:bCs/>
        </w:rPr>
        <w:t xml:space="preserve"> </w:t>
      </w:r>
      <w:r>
        <w:rPr>
          <w:b/>
          <w:bCs/>
        </w:rPr>
        <w:t xml:space="preserve"> </w:t>
      </w:r>
      <w:r>
        <w:t xml:space="preserve"> </w:t>
      </w:r>
      <w:hyperlink w:anchor="klimawandelanpassung">
        <w:r>
          <w:rPr>
            <w:rStyle w:val="Hyperlink"/>
          </w:rPr>
          <w:t xml:space="preserve">Klimawandelanpassung</w:t>
        </w:r>
      </w:hyperlink>
      <w:r>
        <w:t xml:space="preserve"> </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Dialoggruppen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Verwandt:</w:t>
      </w:r>
      <w:r>
        <w:rPr>
          <w:b/>
          <w:bCs/>
        </w:rPr>
        <w:t xml:space="preserve"> </w:t>
      </w:r>
      <w:r>
        <w:rPr>
          <w:b/>
          <w:bCs/>
        </w:rPr>
        <w:t xml:space="preserve"> </w:t>
      </w:r>
      <w:r>
        <w:t xml:space="preserve"> </w:t>
      </w:r>
      <w:hyperlink w:anchor="klimaanpassung">
        <w:r>
          <w:rPr>
            <w:rStyle w:val="Hyperlink"/>
          </w:rPr>
          <w:t xml:space="preserve">Klimaanpassung</w:t>
        </w:r>
      </w:hyperlink>
      <w:r>
        <w:t xml:space="preserve"> </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in Bezug auf ein gemeinsames Ziel;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einer der KRITIS-Sektoren. Der KRITIS-Sektor Energie umfasst beispielsweise die KRITIS-Branchen Elektrizität, Gas, Mineralöl und Fernwärme.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Einfache Beschreibung:</w:t>
      </w:r>
      <w:r>
        <w:rPr>
          <w:b/>
          <w:bCs/>
        </w:rPr>
        <w:t xml:space="preserve"> </w:t>
      </w:r>
      <w:r>
        <w:rPr>
          <w:b/>
          <w:bCs/>
        </w:rPr>
        <w:t xml:space="preserve"> </w:t>
      </w:r>
      <w:r>
        <w:t xml:space="preserve"> </w:t>
      </w:r>
      <w:r>
        <w:t xml:space="preserve">Spezifisches Klima, das sich sehr lokal in bodennahen Luftschichten entwickelt und stark von vorhandenen Oberflächen beeinflusst wird</w:t>
      </w:r>
      <w:r>
        <w:t xml:space="preserve"> </w:t>
      </w:r>
    </w:p>
    <w:p>
      <w:r>
        <w:pict>
          <v:rect style="width:0;height:1.5pt" o:hralign="center" o:hrstd="t" o:hr="t"/>
        </w:pict>
      </w:r>
    </w:p>
    <w:bookmarkEnd w:id="154"/>
    <w:bookmarkStart w:id="155"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5"/>
    <w:bookmarkStart w:id="156"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6"/>
    <w:bookmarkStart w:id="157"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7"/>
    <w:bookmarkStart w:id="15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ökologisch tragfähig, sozial gerecht und wirtschaftlich effizient, werden dabei gleichberechtigt betrachtet.</w:t>
      </w:r>
    </w:p>
    <w:p>
      <w:r>
        <w:pict>
          <v:rect style="width:0;height:1.5pt" o:hralign="center" o:hrstd="t" o:hr="t"/>
        </w:pict>
      </w:r>
    </w:p>
    <w:bookmarkEnd w:id="158"/>
    <w:bookmarkStart w:id="15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9"/>
    <w:bookmarkStart w:id="16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60"/>
    <w:bookmarkStart w:id="16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1"/>
    <w:bookmarkStart w:id="162"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2"/>
    <w:bookmarkStart w:id="163" w:name="naturgefahr"/>
    <w:p>
      <w:pPr>
        <w:pStyle w:val="berschrift3"/>
      </w:pPr>
      <w:r>
        <w:t xml:space="preserve">Naturgefahr</w:t>
      </w:r>
    </w:p>
    <w:p>
      <w:pPr>
        <w:pStyle w:val="FirstParagraph"/>
      </w:pPr>
      <w:r>
        <w:t xml:space="preserve">Mit der Natur oder Umweltfaktoren verbundene Gefahr</w:t>
      </w:r>
    </w:p>
    <w:p>
      <w:pPr>
        <w:pStyle w:val="BodyText"/>
      </w:pPr>
      <w:r>
        <w:rPr>
          <w:b/>
          <w:bCs/>
        </w:rPr>
        <w:t xml:space="preserve">Einfache Beschreibung:</w:t>
      </w:r>
      <w:r>
        <w:rPr>
          <w:b/>
          <w:bCs/>
        </w:rPr>
        <w:t xml:space="preserve"> </w:t>
      </w:r>
      <w:r>
        <w:rPr>
          <w:b/>
          <w:bCs/>
        </w:rPr>
        <w:t xml:space="preserve"> </w:t>
      </w:r>
      <w:r>
        <w:t xml:space="preserve"> </w:t>
      </w:r>
      <w:r>
        <w:t xml:space="preserve">Mit der Natur oder Umweltfaktoren verbundene Gefahr</w:t>
      </w:r>
      <w:r>
        <w:t xml:space="preserve"> </w:t>
      </w:r>
    </w:p>
    <w:p>
      <w:r>
        <w:pict>
          <v:rect style="width:0;height:1.5pt" o:hralign="center" o:hrstd="t" o:hr="t"/>
        </w:pict>
      </w:r>
    </w:p>
    <w:bookmarkEnd w:id="163"/>
    <w:bookmarkStart w:id="16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4"/>
    <w:bookmarkStart w:id="165"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5"/>
    <w:bookmarkStart w:id="166"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6"/>
    <w:bookmarkStart w:id="167"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7"/>
    <w:bookmarkStart w:id="168"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8"/>
    <w:bookmarkStart w:id="169"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9"/>
    <w:bookmarkStart w:id="170"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70"/>
    <w:bookmarkStart w:id="171"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1"/>
    <w:bookmarkStart w:id="172"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informierender und wissensvermittelnder Wissenschaftskommunikation.</w:t>
      </w:r>
    </w:p>
    <w:p>
      <w:r>
        <w:pict>
          <v:rect style="width:0;height:1.5pt" o:hralign="center" o:hrstd="t" o:hr="t"/>
        </w:pict>
      </w:r>
    </w:p>
    <w:bookmarkEnd w:id="172"/>
    <w:bookmarkStart w:id="173"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3"/>
    <w:bookmarkStart w:id="174"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4"/>
    <w:bookmarkStart w:id="175"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5"/>
    <w:bookmarkStart w:id="176"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6"/>
    <w:bookmarkStart w:id="17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7"/>
    <w:bookmarkStart w:id="178"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8"/>
    <w:bookmarkStart w:id="179"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9"/>
    <w:bookmarkStart w:id="180"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80"/>
    <w:bookmarkStart w:id="181"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1"/>
    <w:bookmarkStart w:id="182"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2"/>
    <w:bookmarkStart w:id="183"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3"/>
    <w:bookmarkStart w:id="184"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4"/>
    <w:bookmarkStart w:id="185"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5"/>
    <w:bookmarkStart w:id="186"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6"/>
    <w:bookmarkStart w:id="187"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7"/>
    <w:bookmarkStart w:id="188"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8"/>
    <w:bookmarkStart w:id="189" w:name="reallabor"/>
    <w:p>
      <w:pPr>
        <w:pStyle w:val="berschrift3"/>
      </w:pPr>
      <w:r>
        <w:t xml:space="preserve">Reallabor</w:t>
      </w:r>
    </w:p>
    <w:p>
      <w:pPr>
        <w:pStyle w:val="FirstParagraph"/>
      </w:pPr>
      <w:r>
        <w:t xml:space="preserve">Ein Reallabor ist ein instutionell-struktureller Rahmen, der z.B.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9"/>
    <w:bookmarkStart w:id="19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90"/>
    <w:bookmarkStart w:id="19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1"/>
    <w:bookmarkStart w:id="192"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2"/>
    <w:bookmarkStart w:id="193"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3"/>
    <w:bookmarkStart w:id="194"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4"/>
    <w:bookmarkStart w:id="195"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5"/>
    <w:bookmarkStart w:id="19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6"/>
    <w:bookmarkStart w:id="19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7"/>
    <w:bookmarkStart w:id="19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8"/>
    <w:bookmarkStart w:id="19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9"/>
    <w:bookmarkStart w:id="200"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200"/>
    <w:bookmarkStart w:id="201"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1"/>
    <w:bookmarkStart w:id="202"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2"/>
    <w:bookmarkStart w:id="203"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3"/>
    <w:bookmarkStart w:id="204"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4"/>
    <w:bookmarkStart w:id="205"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5"/>
    <w:bookmarkStart w:id="206"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6"/>
    <w:bookmarkStart w:id="207" w:name="sites"/>
    <w:p>
      <w:pPr>
        <w:pStyle w:val="berschrift3"/>
      </w:pPr>
      <w:r>
        <w:t xml:space="preserve">Sites</w:t>
      </w:r>
    </w:p>
    <w:p>
      <w:pPr>
        <w:pStyle w:val="FirstParagraph"/>
      </w:pPr>
      <w:r>
        <w:t xml:space="preserve">Modellregionen des Projekts Co-Site, derzeit Stadt Leverkusen (als Großstadt), Kolpingstadt Kerpen (als Mittelstadt), Erftstadt (Mittelstadt) und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7"/>
    <w:bookmarkStart w:id="208"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Personen oder (organisiertierte) Personengruppen, auch Entitäten genannt.</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8"/>
    <w:bookmarkStart w:id="209"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9"/>
    <w:bookmarkStart w:id="210"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10"/>
    <w:bookmarkStart w:id="211"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nach dem Merkblatt 119 der Deutschen Vereinigung für Wasserwirtschaft, Abwasser und Abfall angegeben. Die Starkregenindices geben das Gefahrenrisiko bei Überflutungen wider.</w:t>
      </w:r>
    </w:p>
    <w:p>
      <w:r>
        <w:pict>
          <v:rect style="width:0;height:1.5pt" o:hralign="center" o:hrstd="t" o:hr="t"/>
        </w:pict>
      </w:r>
    </w:p>
    <w:bookmarkEnd w:id="211"/>
    <w:bookmarkStart w:id="212"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2"/>
    <w:bookmarkStart w:id="213"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3"/>
    <w:bookmarkStart w:id="214"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4"/>
    <w:bookmarkStart w:id="215"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5"/>
    <w:bookmarkStart w:id="216"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6"/>
    <w:bookmarkStart w:id="217"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7"/>
    <w:bookmarkStart w:id="218"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Verwandt:</w:t>
      </w:r>
      <w:r>
        <w:rPr>
          <w:b/>
          <w:bCs/>
        </w:rPr>
        <w:t xml:space="preserve"> </w:t>
      </w:r>
      <w:r>
        <w:rPr>
          <w:b/>
          <w:bCs/>
        </w:rPr>
        <w:t xml:space="preserve"> </w:t>
      </w:r>
      <w:r>
        <w:t xml:space="preserve"> </w:t>
      </w:r>
      <w:hyperlink w:anchor="zielwissen">
        <w:r>
          <w:rPr>
            <w:rStyle w:val="Hyperlink"/>
          </w:rPr>
          <w:t xml:space="preserve">Zielwissen</w:t>
        </w:r>
      </w:hyperlink>
      <w:r>
        <w:t xml:space="preserve">,</w:t>
      </w:r>
      <w:r>
        <w:t xml:space="preserve"> </w:t>
      </w:r>
      <w:hyperlink w:anchor="transformationswissen">
        <w:r>
          <w:rPr>
            <w:rStyle w:val="Hyperlink"/>
          </w:rPr>
          <w:t xml:space="preserve">Transformationswissen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18"/>
    <w:bookmarkStart w:id="219"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9"/>
    <w:bookmarkStart w:id="220"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20"/>
    <w:bookmarkStart w:id="221"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1"/>
    <w:bookmarkStart w:id="222"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2"/>
    <w:bookmarkStart w:id="223" w:name="transfer"/>
    <w:p>
      <w:pPr>
        <w:pStyle w:val="berschrift3"/>
      </w:pPr>
      <w:r>
        <w:t xml:space="preserve">Transfer</w:t>
      </w:r>
    </w:p>
    <w:p>
      <w:pPr>
        <w:pStyle w:val="FirstParagraph"/>
      </w:pPr>
      <w:r>
        <w:t xml:space="preserve">Anwendung und Übertragung von wissenschaftlichem und praktischem Wissen in unterschiedlichen und insbesonderen andere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3"/>
    <w:bookmarkStart w:id="224"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4"/>
    <w:bookmarkStart w:id="225" w:name="transfermodus-1"/>
    <w:p>
      <w:pPr>
        <w:pStyle w:val="berschrift3"/>
      </w:pPr>
      <w:r>
        <w:t xml:space="preserve">Transfermodus 1</w:t>
      </w:r>
    </w:p>
    <w:p>
      <w:pPr>
        <w:pStyle w:val="FirstParagraph"/>
      </w:pPr>
      <w:r>
        <w:t xml:space="preserve">Wissens- und Technologietransfer, der den linearen Transfer von Wissen und Technologie aus der Hochschule in die Gesellschaft beschreibt.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5"/>
    <w:bookmarkStart w:id="226" w:name="transfermodus-2a"/>
    <w:p>
      <w:pPr>
        <w:pStyle w:val="berschrift3"/>
      </w:pPr>
      <w:r>
        <w:t xml:space="preserve">Transfermodus 2a</w:t>
      </w:r>
    </w:p>
    <w:p>
      <w:pPr>
        <w:pStyle w:val="FirstParagraph"/>
      </w:pPr>
      <w:r>
        <w:t xml:space="preserve">Ideen-,Wissens- und Technologietransfer mit der und für die Gesellschaft. Hochschulexterne aus mindestens einem gesellschaftlichen Teilsystem werden an einem Teil der wissenschaftlichen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6"/>
    <w:bookmarkStart w:id="227"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7"/>
    <w:bookmarkStart w:id="228"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8"/>
    <w:bookmarkStart w:id="229"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9"/>
    <w:bookmarkStart w:id="230"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30"/>
    <w:bookmarkStart w:id="231"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zielwissen">
        <w:r>
          <w:rPr>
            <w:rStyle w:val="Hyperlink"/>
          </w:rPr>
          <w:t xml:space="preserve">Zielwissen</w:t>
        </w:r>
      </w:hyperlink>
      <w:r>
        <w:t xml:space="preserve"> </w:t>
      </w:r>
    </w:p>
    <w:p>
      <w:r>
        <w:pict>
          <v:rect style="width:0;height:1.5pt" o:hralign="center" o:hrstd="t" o:hr="t"/>
        </w:pict>
      </w:r>
    </w:p>
    <w:bookmarkEnd w:id="231"/>
    <w:bookmarkStart w:id="232"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in der Gesellschaft zu initiieren und zu unterstützen.</w:t>
      </w:r>
    </w:p>
    <w:p>
      <w:pPr>
        <w:pStyle w:val="BodyText"/>
      </w:pPr>
      <w:r>
        <w:rPr>
          <w:b/>
          <w:bCs/>
        </w:rPr>
        <w:t xml:space="preserve">Verwandt:</w:t>
      </w:r>
      <w:r>
        <w:rPr>
          <w:b/>
          <w:bCs/>
        </w:rPr>
        <w:t xml:space="preserve"> </w:t>
      </w:r>
      <w:r>
        <w:rPr>
          <w:b/>
          <w:bCs/>
        </w:rPr>
        <w:t xml:space="preserve"> </w:t>
      </w:r>
      <w:r>
        <w:t xml:space="preserve"> </w:t>
      </w:r>
      <w:hyperlink w:anchor="transformatives-lernen">
        <w:r>
          <w:rPr>
            <w:rStyle w:val="Hyperlink"/>
          </w:rPr>
          <w:t xml:space="preserve">Transformatives Lernen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transformation">
        <w:r>
          <w:rPr>
            <w:rStyle w:val="Hyperlink"/>
          </w:rPr>
          <w:t xml:space="preserve">Transformation</w:t>
        </w:r>
      </w:hyperlink>
      <w:r>
        <w:t xml:space="preserve"> </w:t>
      </w:r>
    </w:p>
    <w:p>
      <w:r>
        <w:pict>
          <v:rect style="width:0;height:1.5pt" o:hralign="center" o:hrstd="t" o:hr="t"/>
        </w:pict>
      </w:r>
    </w:p>
    <w:bookmarkEnd w:id="232"/>
    <w:bookmarkStart w:id="233"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Verwandt:</w:t>
      </w:r>
      <w:r>
        <w:rPr>
          <w:b/>
          <w:bCs/>
        </w:rPr>
        <w:t xml:space="preserve"> </w:t>
      </w:r>
      <w:r>
        <w:rPr>
          <w:b/>
          <w:bCs/>
        </w:rPr>
        <w:t xml:space="preserve"> </w:t>
      </w:r>
      <w:r>
        <w:t xml:space="preserve"> </w:t>
      </w:r>
      <w:hyperlink w:anchor="transformative-wissenschaft">
        <w:r>
          <w:rPr>
            <w:rStyle w:val="Hyperlink"/>
          </w:rPr>
          <w:t xml:space="preserve">Transformative Wissenschaft</w:t>
        </w:r>
      </w:hyperlink>
      <w:r>
        <w:t xml:space="preserve"> </w:t>
      </w:r>
    </w:p>
    <w:p>
      <w:r>
        <w:pict>
          <v:rect style="width:0;height:1.5pt" o:hralign="center" o:hrstd="t" o:hr="t"/>
        </w:pict>
      </w:r>
    </w:p>
    <w:bookmarkEnd w:id="233"/>
    <w:bookmarkStart w:id="234"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4"/>
    <w:bookmarkStart w:id="235"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Berücksichtigt wird dabei zugleich die Anpassungsfähigkeit und Entwicklung hin zu einer robusten, adaptiven und zukunftsfähigen Stadt.</w:t>
      </w:r>
    </w:p>
    <w:p>
      <w:r>
        <w:pict>
          <v:rect style="width:0;height:1.5pt" o:hralign="center" o:hrstd="t" o:hr="t"/>
        </w:pict>
      </w:r>
    </w:p>
    <w:bookmarkEnd w:id="235"/>
    <w:bookmarkStart w:id="236"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6"/>
    <w:bookmarkStart w:id="237"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7"/>
    <w:bookmarkStart w:id="238"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8"/>
    <w:bookmarkStart w:id="239"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9"/>
    <w:bookmarkStart w:id="240"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0"/>
    <w:bookmarkStart w:id="241"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1"/>
    <w:bookmarkStart w:id="242"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2"/>
    <w:bookmarkStart w:id="243"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3"/>
    <w:bookmarkStart w:id="244"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4"/>
    <w:bookmarkStart w:id="245"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5"/>
    <w:bookmarkStart w:id="246"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6"/>
    <w:bookmarkStart w:id="247"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soziale und technische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7"/>
    <w:bookmarkStart w:id="248"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8"/>
    <w:bookmarkStart w:id="249"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9"/>
    <w:bookmarkStart w:id="250"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50"/>
    <w:bookmarkStart w:id="251"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1"/>
    <w:bookmarkStart w:id="252"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2"/>
    <w:bookmarkStart w:id="253"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3"/>
    <w:bookmarkStart w:id="254"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4"/>
    <w:bookmarkStart w:id="255"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5"/>
    <w:bookmarkStart w:id="256"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6"/>
    <w:bookmarkStart w:id="257"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7"/>
    <w:bookmarkStart w:id="258"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8"/>
    <w:bookmarkStart w:id="259"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9"/>
    <w:bookmarkStart w:id="260"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60"/>
    <w:bookmarkStart w:id="261"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1"/>
    <w:bookmarkStart w:id="262"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2"/>
    <w:bookmarkStart w:id="263"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3"/>
    <w:bookmarkStart w:id="264" w:name="zielgruppe"/>
    <w:p>
      <w:pPr>
        <w:pStyle w:val="berschrift3"/>
      </w:pPr>
      <w:r>
        <w:t xml:space="preserve">Zielgruppe</w:t>
      </w:r>
    </w:p>
    <w:p>
      <w:pPr>
        <w:pStyle w:val="FirstParagraph"/>
      </w:pPr>
      <w:r>
        <w:t xml:space="preserve">Eine Person oder Gruppe von Menschen, die mit den Maßnahmen des Reallabors angesprochen oder eingebunden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4"/>
    <w:bookmarkStart w:id="265"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w:t>
      </w:r>
      <w:r>
        <w:t xml:space="preserve"> </w:t>
      </w:r>
      <w:hyperlink w:anchor="transformationswissen">
        <w:r>
          <w:rPr>
            <w:rStyle w:val="Hyperlink"/>
          </w:rPr>
          <w:t xml:space="preserve">Transformationswissen</w:t>
        </w:r>
      </w:hyperlink>
      <w:r>
        <w:t xml:space="preserve"> </w:t>
      </w:r>
    </w:p>
    <w:p>
      <w:r>
        <w:pict>
          <v:rect style="width:0;height:1.5pt" o:hralign="center" o:hrstd="t" o:hr="t"/>
        </w:pict>
      </w:r>
    </w:p>
    <w:bookmarkEnd w:id="265"/>
    <w:bookmarkStart w:id="26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6"/>
    <w:bookmarkEnd w:id="267"/>
    <w:bookmarkStart w:id="292" w:name="co-site-tags"/>
    <w:p>
      <w:pPr>
        <w:pStyle w:val="berschrift1"/>
      </w:pPr>
      <w:r>
        <w:t xml:space="preserve">Co-Site Tags</w:t>
      </w:r>
    </w:p>
    <w:p>
      <w:pPr>
        <w:pStyle w:val="FirstParagraph"/>
      </w:pPr>
    </w:p>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Gefahrenereignis</w:t>
      </w:r>
    </w:p>
    <w:p>
      <w:pPr>
        <w:pStyle w:val="BodyText"/>
      </w:pPr>
      <w:r>
        <w:t xml:space="preserve">Naturgefahr</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Mikroklima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Datenvisualisierung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1"/>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11" w:name="mitwirkende"/>
    <w:p>
      <w:pPr>
        <w:pStyle w:val="berschrift1"/>
      </w:pPr>
      <w:r>
        <w:t xml:space="preserve">Mitwirkende</w:t>
      </w:r>
    </w:p>
    <w:bookmarkStart w:id="309" w:name="autorinnen"/>
    <w:p>
      <w:pPr>
        <w:pStyle w:val="berschrift2"/>
      </w:pPr>
      <w:r>
        <w:t xml:space="preserve">Autor:innen</w:t>
      </w:r>
    </w:p>
    <w:p>
      <w:pPr>
        <w:pStyle w:val="FirstParagraph"/>
      </w:pPr>
      <w:r>
        <w:t xml:space="preserve">Sandra Alfonso de Nehren,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Ilona Arcaro, TH Köln - Akademie für wissenschaftliche Weiterbildung,</w:t>
      </w:r>
      <w:r>
        <w:t xml:space="preserve"> </w:t>
      </w:r>
      <w:r>
        <w:t xml:space="preserve">Wissenschaftliche Weiterbildung</w:t>
      </w:r>
    </w:p>
    <w:p>
      <w:pPr>
        <w:pStyle w:val="BodyText"/>
      </w:pPr>
      <w:r>
        <w:t xml:space="preserve">Muhammed Enes Bodur,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Nico Buck, (ORCID iD:</w:t>
      </w:r>
      <w:r>
        <w:t xml:space="preserve"> </w:t>
      </w:r>
      <w:hyperlink r:id="rId300">
        <w:r>
          <w:rPr>
            <w:rStyle w:val="Hyperlink"/>
          </w:rPr>
          <w:t xml:space="preserve">0009-0002-9390-1336</w:t>
        </w:r>
      </w:hyperlink>
      <w:r>
        <w:t xml:space="preserve">), TH Köln -</w:t>
      </w:r>
      <w:r>
        <w:t xml:space="preserve"> </w:t>
      </w:r>
      <w:r>
        <w:t xml:space="preserve">Fakultät für Anlagen, Energie- und Maschinensysteme</w:t>
      </w:r>
    </w:p>
    <w:p>
      <w:pPr>
        <w:pStyle w:val="BodyText"/>
      </w:pPr>
      <w:r>
        <w:t xml:space="preserve">Anne Diessner, TH Köln - Fakultät für Raumentwicklung und</w:t>
      </w:r>
      <w:r>
        <w:t xml:space="preserve"> </w:t>
      </w:r>
      <w:r>
        <w:t xml:space="preserve">Infrastruktursysteme</w:t>
      </w:r>
    </w:p>
    <w:p>
      <w:pPr>
        <w:pStyle w:val="BodyText"/>
      </w:pPr>
      <w:r>
        <w:t xml:space="preserve">Lars Dietrich (ORCID iD:</w:t>
      </w:r>
      <w:r>
        <w:t xml:space="preserve"> </w:t>
      </w:r>
      <w:hyperlink r:id="rId301">
        <w:r>
          <w:rPr>
            <w:rStyle w:val="Hyperlink"/>
          </w:rPr>
          <w:t xml:space="preserve">0000-0003-3407-166X</w:t>
        </w:r>
      </w:hyperlink>
      <w:r>
        <w:t xml:space="preserve">), Stadt</w:t>
      </w:r>
      <w:r>
        <w:t xml:space="preserve"> </w:t>
      </w:r>
      <w:r>
        <w:t xml:space="preserve">Leverkusen, NaturGut Ophoven</w:t>
      </w:r>
    </w:p>
    <w:p>
      <w:pPr>
        <w:pStyle w:val="BodyText"/>
      </w:pPr>
      <w:r>
        <w:t xml:space="preserve">Alexander Fekete,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Barbara Elisabeth Frick, TH Köln - Fakultät für Informations- und</w:t>
      </w:r>
      <w:r>
        <w:t xml:space="preserve"> </w:t>
      </w:r>
      <w:r>
        <w:t xml:space="preserve">Kommunikationswissenschaften</w:t>
      </w:r>
    </w:p>
    <w:p>
      <w:pPr>
        <w:pStyle w:val="BodyText"/>
      </w:pPr>
      <w:r>
        <w:t xml:space="preserve">Claudia Frick, TH Köln - Fakultät für Informations- und</w:t>
      </w:r>
      <w:r>
        <w:t xml:space="preserve"> </w:t>
      </w:r>
      <w:r>
        <w:t xml:space="preserve">Kommunikationswissenschaften, Institut für Informationswissenschaft</w:t>
      </w:r>
    </w:p>
    <w:p>
      <w:pPr>
        <w:pStyle w:val="BodyText"/>
      </w:pPr>
      <w:r>
        <w:t xml:space="preserve">Henny Grotehusmann, TH Köln - Fakultät für Raumentwicklung und</w:t>
      </w:r>
      <w:r>
        <w:t xml:space="preserve"> </w:t>
      </w:r>
      <w:r>
        <w:t xml:space="preserve">Infrastruktursysteme</w:t>
      </w:r>
    </w:p>
    <w:p>
      <w:pPr>
        <w:pStyle w:val="BodyText"/>
      </w:pPr>
      <w:r>
        <w:t xml:space="preserve">Lambert Heller, (ORCID iD:</w:t>
      </w:r>
      <w:r>
        <w:t xml:space="preserve"> </w:t>
      </w:r>
      <w:hyperlink r:id="rId302">
        <w:r>
          <w:rPr>
            <w:rStyle w:val="Hyperlink"/>
          </w:rPr>
          <w:t xml:space="preserve">0000-0003-0232-7085</w:t>
        </w:r>
      </w:hyperlink>
      <w:r>
        <w:t xml:space="preserve">), TIB -</w:t>
      </w:r>
      <w:r>
        <w:t xml:space="preserve"> </w:t>
      </w:r>
      <w:r>
        <w:t xml:space="preserve">Leibniz Informationszentrum Technik und Naturwissenschaften</w:t>
      </w:r>
    </w:p>
    <w:p>
      <w:pPr>
        <w:pStyle w:val="BodyText"/>
      </w:pPr>
      <w:r>
        <w:t xml:space="preserve">Chris Hetkämper, TH Köln - Fakultät für Anlagen, Energie- und</w:t>
      </w:r>
      <w:r>
        <w:t xml:space="preserve"> </w:t>
      </w:r>
      <w:r>
        <w:t xml:space="preserve">Maschinensysteme, Institut für Rettungsingenieurwesen und Gefahrenabwehr</w:t>
      </w:r>
      <w:r>
        <w:t xml:space="preserve"> </w:t>
      </w:r>
      <w:r>
        <w:t xml:space="preserve">(IRG)</w:t>
      </w:r>
    </w:p>
    <w:p>
      <w:pPr>
        <w:pStyle w:val="BodyText"/>
      </w:pPr>
      <w:r>
        <w:t xml:space="preserve">Friederike Holtmann (ORCID iD:</w:t>
      </w:r>
      <w:r>
        <w:t xml:space="preserve"> </w:t>
      </w:r>
      <w:hyperlink r:id="rId303">
        <w:r>
          <w:rPr>
            <w:rStyle w:val="Hyperlink"/>
          </w:rPr>
          <w:t xml:space="preserve">0009-0004-3451-0962</w:t>
        </w:r>
      </w:hyperlink>
      <w:r>
        <w:t xml:space="preserve">), TH Köln -</w:t>
      </w:r>
      <w:r>
        <w:t xml:space="preserve"> </w:t>
      </w:r>
      <w:r>
        <w:t xml:space="preserve">Fakultät für Anlagen, Energie- und Maschinensysteme</w:t>
      </w:r>
    </w:p>
    <w:p>
      <w:pPr>
        <w:pStyle w:val="BodyText"/>
      </w:pPr>
      <w:r>
        <w:t xml:space="preserve">Carla Jakobowsky (ORCID iD:</w:t>
      </w:r>
      <w:r>
        <w:t xml:space="preserve"> </w:t>
      </w:r>
      <w:hyperlink r:id="rId304">
        <w:r>
          <w:rPr>
            <w:rStyle w:val="Hyperlink"/>
          </w:rPr>
          <w:t xml:space="preserve">0009-0007-8663-1856</w:t>
        </w:r>
      </w:hyperlink>
      <w:r>
        <w:t xml:space="preserve">), TH Köln -</w:t>
      </w:r>
      <w:r>
        <w:t xml:space="preserve"> </w:t>
      </w:r>
      <w:r>
        <w:t xml:space="preserve">Fakultät für Anlagen, Energie- und Maschinensysteme</w:t>
      </w:r>
    </w:p>
    <w:p>
      <w:pPr>
        <w:pStyle w:val="BodyText"/>
      </w:pPr>
      <w:r>
        <w:t xml:space="preserve">Johanne Kaufmann, TH Köln - Fakultät für Raumentwicklung und</w:t>
      </w:r>
      <w:r>
        <w:t xml:space="preserve"> </w:t>
      </w:r>
      <w:r>
        <w:t xml:space="preserve">Infrastruktursysteme</w:t>
      </w:r>
    </w:p>
    <w:p>
      <w:pPr>
        <w:pStyle w:val="BodyText"/>
      </w:pPr>
      <w:r>
        <w:t xml:space="preserve">Ines Könsgen (ORCID iD:</w:t>
      </w:r>
      <w:r>
        <w:t xml:space="preserve"> </w:t>
      </w:r>
      <w:hyperlink r:id="rId305">
        <w:r>
          <w:rPr>
            <w:rStyle w:val="Hyperlink"/>
          </w:rPr>
          <w:t xml:space="preserve">0009-0009-2260-8301</w:t>
        </w:r>
      </w:hyperlink>
      <w:r>
        <w:t xml:space="preserve">), TH Köln -</w:t>
      </w:r>
      <w:r>
        <w:t xml:space="preserve"> </w:t>
      </w:r>
      <w:r>
        <w:t xml:space="preserve">Fakultät für Raumentwicklung und Infrastruktursysteme</w:t>
      </w:r>
    </w:p>
    <w:p>
      <w:pPr>
        <w:pStyle w:val="BodyText"/>
      </w:pPr>
      <w:r>
        <w:t xml:space="preserve">Silvia Marie Krautzik,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Georg Lamberty,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Julia Laux (ORCID iD:</w:t>
      </w:r>
      <w:r>
        <w:t xml:space="preserve"> </w:t>
      </w:r>
      <w:hyperlink r:id="rId306">
        <w:r>
          <w:rPr>
            <w:rStyle w:val="Hyperlink"/>
          </w:rPr>
          <w:t xml:space="preserve">&lt;https://orcid.org/0009-0002-5293-561X&gt;</w:t>
        </w:r>
      </w:hyperlink>
      <w:r>
        <w:t xml:space="preserve">,</w:t>
      </w:r>
      <w:r>
        <w:t xml:space="preserve"> </w:t>
      </w:r>
      <w:r>
        <w:t xml:space="preserve">TH Köln - Fakultät für Informations- und Kommunikationswissenschaften</w:t>
      </w:r>
    </w:p>
    <w:p>
      <w:pPr>
        <w:pStyle w:val="BodyText"/>
      </w:pPr>
      <w:r>
        <w:t xml:space="preserve">Isabell Mayer, Kolpingstadt Kerpen, Fachbereich Nachhaltigkeit</w:t>
      </w:r>
    </w:p>
    <w:p>
      <w:pPr>
        <w:pStyle w:val="BodyText"/>
      </w:pPr>
      <w:r>
        <w:t xml:space="preserve">Silke Meilwes,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Larissa Müller, TH Köln - Fakultät für Anlagen, Energie- und</w:t>
      </w:r>
      <w:r>
        <w:t xml:space="preserve"> </w:t>
      </w:r>
      <w:r>
        <w:t xml:space="preserve">Maschinensysteme, Institut für Produktentwicklung und</w:t>
      </w:r>
      <w:r>
        <w:t xml:space="preserve"> </w:t>
      </w:r>
      <w:r>
        <w:t xml:space="preserve">Konstruktionstechnik (IPK)</w:t>
      </w:r>
    </w:p>
    <w:p>
      <w:pPr>
        <w:pStyle w:val="BodyText"/>
      </w:pPr>
      <w:r>
        <w:t xml:space="preserve">Antti Olbrisch, Kolpingstadt Kerpen, Fachbereich Klima &amp; Umwelt</w:t>
      </w:r>
    </w:p>
    <w:p>
      <w:pPr>
        <w:pStyle w:val="BodyText"/>
      </w:pPr>
      <w:r>
        <w:t xml:space="preserve">Juan Luis Ramirez Duval, TH Köln - Fakultät für Raumentwicklung und</w:t>
      </w:r>
      <w:r>
        <w:t xml:space="preserve"> </w:t>
      </w:r>
      <w:r>
        <w:t xml:space="preserve">Infrastruktursysteme</w:t>
      </w:r>
    </w:p>
    <w:p>
      <w:pPr>
        <w:pStyle w:val="BodyText"/>
      </w:pPr>
      <w:r>
        <w:t xml:space="preserve">Lars Ribbe, TH Köln - Fakultät für Raumentwicklung und</w:t>
      </w:r>
      <w:r>
        <w:t xml:space="preserve"> </w:t>
      </w:r>
      <w:r>
        <w:t xml:space="preserve">Infrastruktursysteme, Institute for Technology and Resources Management</w:t>
      </w:r>
      <w:r>
        <w:t xml:space="preserve"> </w:t>
      </w:r>
      <w:r>
        <w:t xml:space="preserve">in the Tropics and Subtropics (ITT)</w:t>
      </w:r>
    </w:p>
    <w:p>
      <w:pPr>
        <w:pStyle w:val="BodyText"/>
      </w:pPr>
      <w:r>
        <w:t xml:space="preserve">Johanna Schmidt (ORCID ID:</w:t>
      </w:r>
      <w:r>
        <w:t xml:space="preserve"> </w:t>
      </w:r>
      <w:hyperlink r:id="rId307">
        <w:r>
          <w:rPr>
            <w:rStyle w:val="Hyperlink"/>
          </w:rPr>
          <w:t xml:space="preserve">https://orcid.org/0000-0001-8827-9461</w:t>
        </w:r>
      </w:hyperlink>
      <w:r>
        <w:t xml:space="preserve">)</w:t>
      </w:r>
      <w:r>
        <w:t xml:space="preserve"> </w:t>
      </w:r>
      <w:r>
        <w:t xml:space="preserve">Stadt Leverkusen, Fachbereich Mobilität und Klimaschutz</w:t>
      </w:r>
    </w:p>
    <w:p>
      <w:pPr>
        <w:pStyle w:val="BodyText"/>
      </w:pPr>
      <w:r>
        <w:t xml:space="preserve">Surendra Shiwakoti, TH Köln - Fakultät für Raumentwicklung und</w:t>
      </w:r>
      <w:r>
        <w:t xml:space="preserve"> </w:t>
      </w:r>
      <w:r>
        <w:t xml:space="preserve">Infrastruktursysteme</w:t>
      </w:r>
    </w:p>
    <w:p>
      <w:pPr>
        <w:pStyle w:val="BodyText"/>
      </w:pPr>
      <w:r>
        <w:t xml:space="preserve">Jan Terschüren (ORCID iD:</w:t>
      </w:r>
      <w:r>
        <w:t xml:space="preserve"> </w:t>
      </w:r>
      <w:hyperlink r:id="rId308">
        <w:r>
          <w:rPr>
            <w:rStyle w:val="Hyperlink"/>
          </w:rPr>
          <w:t xml:space="preserve">0009-0000-9016-4831</w:t>
        </w:r>
      </w:hyperlink>
      <w:r>
        <w:t xml:space="preserve">), TH Köln -</w:t>
      </w:r>
      <w:r>
        <w:t xml:space="preserve"> </w:t>
      </w:r>
      <w:r>
        <w:t xml:space="preserve">Fakultät für Anlagen, Energie- und Maschinensysteme, Institut für</w:t>
      </w:r>
      <w:r>
        <w:t xml:space="preserve"> </w:t>
      </w:r>
      <w:r>
        <w:t xml:space="preserve">Produktentwicklung und Konstruktionstechnik (IPK)</w:t>
      </w:r>
    </w:p>
    <w:p>
      <w:pPr>
        <w:pStyle w:val="BodyText"/>
      </w:pPr>
      <w:r>
        <w:t xml:space="preserve">Alexandra Tönies, TH Köln - Fakultät für Anlagen, Energie- und</w:t>
      </w:r>
      <w:r>
        <w:t xml:space="preserve"> </w:t>
      </w:r>
      <w:r>
        <w:t xml:space="preserve">Maschinensysteme, Institut für Produktentwicklung und</w:t>
      </w:r>
      <w:r>
        <w:t xml:space="preserve"> </w:t>
      </w:r>
      <w:r>
        <w:t xml:space="preserve">Konstruktionstechnik (IPK)</w:t>
      </w:r>
    </w:p>
    <w:bookmarkEnd w:id="309"/>
    <w:bookmarkStart w:id="310" w:name="programmierung"/>
    <w:p>
      <w:pPr>
        <w:pStyle w:val="berschrift2"/>
      </w:pPr>
      <w:r>
        <w:t xml:space="preserve">Programmierung</w:t>
      </w:r>
    </w:p>
    <w:p>
      <w:pPr>
        <w:pStyle w:val="FirstParagraph"/>
      </w:pPr>
      <w:r>
        <w:t xml:space="preserve">Worthington, S., Bailly, K., &amp; Rahr, A. (2024). Co-Site Glossar (Version</w:t>
      </w:r>
      <w:r>
        <w:t xml:space="preserve"> </w:t>
      </w:r>
      <w:r>
        <w:t xml:space="preserve">0.0.1a) [Computer software].</w:t>
      </w:r>
      <w:r>
        <w:t xml:space="preserve"> </w:t>
      </w:r>
      <w:hyperlink r:id="rId295">
        <w:r>
          <w:rPr>
            <w:rStyle w:val="Hyperlink"/>
          </w:rPr>
          <w:t xml:space="preserve">https://github.com/TIBHannover/co-site-glossar</w:t>
        </w:r>
      </w:hyperlink>
    </w:p>
    <w:bookmarkEnd w:id="310"/>
    <w:bookmarkEnd w:id="311"/>
    <w:bookmarkStart w:id="335" w:name="literatur"/>
    <w:p>
      <w:pPr>
        <w:pStyle w:val="berschrift1"/>
      </w:pPr>
      <w:r>
        <w:t xml:space="preserve">Literatur</w:t>
      </w:r>
    </w:p>
    <w:bookmarkStart w:id="313" w:name="verwaltung-von-referenzen"/>
    <w:p>
      <w:pPr>
        <w:pStyle w:val="berschrift2"/>
      </w:pPr>
      <w:r>
        <w:t xml:space="preserve">Verwaltung von Referenzen</w:t>
      </w:r>
    </w:p>
    <w:p>
      <w:pPr>
        <w:pStyle w:val="FirstParagraph"/>
      </w:pPr>
      <w:r>
        <w:t xml:space="preserve">Zotero Group:</w:t>
      </w:r>
      <w:r>
        <w:t xml:space="preserve"> </w:t>
      </w:r>
      <w:hyperlink r:id="rId312">
        <w:r>
          <w:rPr>
            <w:rStyle w:val="Hyperlink"/>
          </w:rPr>
          <w:t xml:space="preserve">https://www.zotero.org/groups/5631396/co-site_book_sprints/library</w:t>
        </w:r>
      </w:hyperlink>
    </w:p>
    <w:bookmarkEnd w:id="313"/>
    <w:bookmarkStart w:id="327"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4">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5">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6">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7">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8">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9">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20">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21">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22">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3">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4">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5">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6">
        <w:r>
          <w:rPr>
            <w:rStyle w:val="Hyperlink"/>
          </w:rPr>
          <w:t xml:space="preserve">http://www.undrr.org/drr-glossary/terminology</w:t>
        </w:r>
      </w:hyperlink>
      <w:r>
        <w:t xml:space="preserve">.</w:t>
      </w:r>
    </w:p>
    <w:bookmarkEnd w:id="327"/>
    <w:bookmarkStart w:id="330"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8">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9">
        <w:r>
          <w:rPr>
            <w:rStyle w:val="Hyperlink"/>
          </w:rPr>
          <w:t xml:space="preserve">https://www.ufz.de/teebde/index.php?de=43784</w:t>
        </w:r>
      </w:hyperlink>
      <w:r>
        <w:t xml:space="preserve">.</w:t>
      </w:r>
    </w:p>
    <w:bookmarkEnd w:id="330"/>
    <w:bookmarkStart w:id="332"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31">
        <w:r>
          <w:rPr>
            <w:rStyle w:val="Hyperlink"/>
          </w:rPr>
          <w:t xml:space="preserve">https://doi.org/10.1080/15710882.2022.2123928</w:t>
        </w:r>
      </w:hyperlink>
    </w:p>
    <w:bookmarkEnd w:id="332"/>
    <w:bookmarkStart w:id="334"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3">
        <w:r>
          <w:rPr>
            <w:rStyle w:val="Hyperlink"/>
          </w:rPr>
          <w:t xml:space="preserve">https://wirtschaftslexikon.gabler.de/definition/vuca-119684</w:t>
        </w:r>
      </w:hyperlink>
      <w:r>
        <w:t xml:space="preserve">.</w:t>
      </w:r>
    </w:p>
    <w:bookmarkEnd w:id="334"/>
    <w:bookmarkEnd w:id="33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06" Target="http://0009-0002-5293-561X" TargetMode="External" /><Relationship Type="http://schemas.openxmlformats.org/officeDocument/2006/relationships/hyperlink" Id="rId326" Target="http://www.undrr.org/drr-glossary/terminology" TargetMode="External" /><Relationship Type="http://schemas.openxmlformats.org/officeDocument/2006/relationships/hyperlink" Id="rId321"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3" Target="https://csrc.nist.gov/glossary" TargetMode="External" /><Relationship Type="http://schemas.openxmlformats.org/officeDocument/2006/relationships/hyperlink" Id="rId331" Target="https://doi.org/10.1080/15710882.2022.2123928" TargetMode="External" /><Relationship Type="http://schemas.openxmlformats.org/officeDocument/2006/relationships/hyperlink" Id="rId324" Target="https://doi.org/10.1109/37.969131" TargetMode="External" /><Relationship Type="http://schemas.openxmlformats.org/officeDocument/2006/relationships/hyperlink" Id="rId320" Target="https://doi.org/10.35468/wbeb2022-028" TargetMode="External" /><Relationship Type="http://schemas.openxmlformats.org/officeDocument/2006/relationships/hyperlink" Id="rId322" Target="https://doi.org/10.35468/wbeb2022-030" TargetMode="External" /><Relationship Type="http://schemas.openxmlformats.org/officeDocument/2006/relationships/hyperlink" Id="rId314" Target="https://doi.org/10.35468/wbeb2022-109" TargetMode="External" /><Relationship Type="http://schemas.openxmlformats.org/officeDocument/2006/relationships/hyperlink" Id="rId315" Target="https://doi.org/10.35468/wbeb2022-237" TargetMode="External" /><Relationship Type="http://schemas.openxmlformats.org/officeDocument/2006/relationships/hyperlink" Id="rId325"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7" Target="https://orcid.org/0000-0001-8827-9461" TargetMode="External" /><Relationship Type="http://schemas.openxmlformats.org/officeDocument/2006/relationships/hyperlink" Id="rId302" Target="https://orcid.org/0000-0003-0232-7085" TargetMode="External" /><Relationship Type="http://schemas.openxmlformats.org/officeDocument/2006/relationships/hyperlink" Id="rId301" Target="https://orcid.org/0000-0003-3407-166X" TargetMode="External" /><Relationship Type="http://schemas.openxmlformats.org/officeDocument/2006/relationships/hyperlink" Id="rId308"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6" Target="https://projects.tib.eu/nextgen-books/" TargetMode="External" /><Relationship Type="http://schemas.openxmlformats.org/officeDocument/2006/relationships/hyperlink" Id="rId337" Target="https://projects.tib.eu/nextgen-books/datenschutz/" TargetMode="External" /><Relationship Type="http://schemas.openxmlformats.org/officeDocument/2006/relationships/hyperlink" Id="rId338" Target="https://projects.tib.eu/nextgen-books/impressum/" TargetMode="External" /><Relationship Type="http://schemas.openxmlformats.org/officeDocument/2006/relationships/hyperlink" Id="rId319" Target="https://websites.fraunhofer.de/CIPedia/index.php/CIPedia%C2%A9_Main_Page" TargetMode="External" /><Relationship Type="http://schemas.openxmlformats.org/officeDocument/2006/relationships/hyperlink" Id="rId333" Target="https://wirtschaftslexikon.gabler.de/definition/vuca-119684" TargetMode="External" /><Relationship Type="http://schemas.openxmlformats.org/officeDocument/2006/relationships/hyperlink" Id="rId318" Target="https://www.bbk.bund.de/DE/Infothek/Glossar/glossar_node.html" TargetMode="External" /><Relationship Type="http://schemas.openxmlformats.org/officeDocument/2006/relationships/hyperlink" Id="rId316" Target="https://www.bbk.bund.de/DE/Themen/Kritische-Infrastrukturen/Sektoren-Branchen/sektoren-branchen_node.html" TargetMode="External" /><Relationship Type="http://schemas.openxmlformats.org/officeDocument/2006/relationships/hyperlink" Id="rId328"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7"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9" Target="https://www.ufz.de/teebde/index.php?de=43784" TargetMode="External" /><Relationship Type="http://schemas.openxmlformats.org/officeDocument/2006/relationships/hyperlink" Id="rId312"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06" Target="http://0009-0002-5293-561X" TargetMode="External" /><Relationship Type="http://schemas.openxmlformats.org/officeDocument/2006/relationships/hyperlink" Id="rId326" Target="http://www.undrr.org/drr-glossary/terminology" TargetMode="External" /><Relationship Type="http://schemas.openxmlformats.org/officeDocument/2006/relationships/hyperlink" Id="rId321"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3" Target="https://csrc.nist.gov/glossary" TargetMode="External" /><Relationship Type="http://schemas.openxmlformats.org/officeDocument/2006/relationships/hyperlink" Id="rId331" Target="https://doi.org/10.1080/15710882.2022.2123928" TargetMode="External" /><Relationship Type="http://schemas.openxmlformats.org/officeDocument/2006/relationships/hyperlink" Id="rId324" Target="https://doi.org/10.1109/37.969131" TargetMode="External" /><Relationship Type="http://schemas.openxmlformats.org/officeDocument/2006/relationships/hyperlink" Id="rId320" Target="https://doi.org/10.35468/wbeb2022-028" TargetMode="External" /><Relationship Type="http://schemas.openxmlformats.org/officeDocument/2006/relationships/hyperlink" Id="rId322" Target="https://doi.org/10.35468/wbeb2022-030" TargetMode="External" /><Relationship Type="http://schemas.openxmlformats.org/officeDocument/2006/relationships/hyperlink" Id="rId314" Target="https://doi.org/10.35468/wbeb2022-109" TargetMode="External" /><Relationship Type="http://schemas.openxmlformats.org/officeDocument/2006/relationships/hyperlink" Id="rId315" Target="https://doi.org/10.35468/wbeb2022-237" TargetMode="External" /><Relationship Type="http://schemas.openxmlformats.org/officeDocument/2006/relationships/hyperlink" Id="rId325"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7" Target="https://orcid.org/0000-0001-8827-9461" TargetMode="External" /><Relationship Type="http://schemas.openxmlformats.org/officeDocument/2006/relationships/hyperlink" Id="rId302" Target="https://orcid.org/0000-0003-0232-7085" TargetMode="External" /><Relationship Type="http://schemas.openxmlformats.org/officeDocument/2006/relationships/hyperlink" Id="rId301" Target="https://orcid.org/0000-0003-3407-166X" TargetMode="External" /><Relationship Type="http://schemas.openxmlformats.org/officeDocument/2006/relationships/hyperlink" Id="rId308"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3" Target="https://orcid.org/0009-0004-3451-0962" TargetMode="External" /><Relationship Type="http://schemas.openxmlformats.org/officeDocument/2006/relationships/hyperlink" Id="rId304" Target="https://orcid.org/0009-0007-8663-1856" TargetMode="External" /><Relationship Type="http://schemas.openxmlformats.org/officeDocument/2006/relationships/hyperlink" Id="rId305" Target="https://orcid.org/0009-0009-2260-8301" TargetMode="External" /><Relationship Type="http://schemas.openxmlformats.org/officeDocument/2006/relationships/hyperlink" Id="rId336" Target="https://projects.tib.eu/nextgen-books/" TargetMode="External" /><Relationship Type="http://schemas.openxmlformats.org/officeDocument/2006/relationships/hyperlink" Id="rId337" Target="https://projects.tib.eu/nextgen-books/datenschutz/" TargetMode="External" /><Relationship Type="http://schemas.openxmlformats.org/officeDocument/2006/relationships/hyperlink" Id="rId338" Target="https://projects.tib.eu/nextgen-books/impressum/" TargetMode="External" /><Relationship Type="http://schemas.openxmlformats.org/officeDocument/2006/relationships/hyperlink" Id="rId319" Target="https://websites.fraunhofer.de/CIPedia/index.php/CIPedia%C2%A9_Main_Page" TargetMode="External" /><Relationship Type="http://schemas.openxmlformats.org/officeDocument/2006/relationships/hyperlink" Id="rId333" Target="https://wirtschaftslexikon.gabler.de/definition/vuca-119684" TargetMode="External" /><Relationship Type="http://schemas.openxmlformats.org/officeDocument/2006/relationships/hyperlink" Id="rId318" Target="https://www.bbk.bund.de/DE/Infothek/Glossar/glossar_node.html" TargetMode="External" /><Relationship Type="http://schemas.openxmlformats.org/officeDocument/2006/relationships/hyperlink" Id="rId316" Target="https://www.bbk.bund.de/DE/Themen/Kritische-Infrastrukturen/Sektoren-Branchen/sektoren-branchen_node.html" TargetMode="External" /><Relationship Type="http://schemas.openxmlformats.org/officeDocument/2006/relationships/hyperlink" Id="rId328"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7"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9" Target="https://www.ufz.de/teebde/index.php?de=43784" TargetMode="External" /><Relationship Type="http://schemas.openxmlformats.org/officeDocument/2006/relationships/hyperlink" Id="rId312"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2024-12-17T09:25:59Z</dcterms:created>
  <dcterms:modified xsi:type="dcterms:W3CDTF">2024-12-17T09:25:59Z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2024-12-17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