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17. Dezember 2024, 15:40:31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9"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Die Agenda 2030 ist ein internationales Abkommen, in dem ökonomische, ökologische und soziale Ziele (Sustainable Development Goals) im Sinne einer nachhaltigen Entwicklung angestrebt werden.</w:t>
      </w:r>
    </w:p>
    <w:p>
      <w:pPr>
        <w:pStyle w:val="BodyText"/>
      </w:pPr>
      <w:r>
        <w:rPr>
          <w:b/>
          <w:bCs/>
        </w:rPr>
        <w:t xml:space="preserve">Verwandt:</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zur Erfassung relevanter Akteur:innen und kann als Arbeitsgrundlage zur Einbindung dieser unterstützen.</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(Head-Mounted Display),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ganzheitlich orientiertes Konzept zur Messung, Dokumentation und Steuerung der Aktivitäten einer Organisation in Bezug auf ihre Vision und Strategie. Sie kombiniert Indikatoren aus verschiedenen Perspektiven und fördert dadurch die Transparenz sowie die strategische Ausrichtung der Organisation.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Ein 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Unterbegriff von:</w:t>
      </w:r>
      <w:r>
        <w:rPr>
          <w:b/>
          <w:bCs/>
        </w:rPr>
        <w:t xml:space="preserve"> </w:t>
      </w:r>
      <w:r>
        <w:rPr>
          <w:b/>
          <w:bCs/>
        </w:rPr>
        <w:t xml:space="preserve"> </w:t>
      </w:r>
      <w:r>
        <w:t xml:space="preserve"> </w:t>
      </w:r>
      <w:hyperlink w:anchor="weiterbildung">
        <w:r>
          <w:rPr>
            <w:rStyle w:val="Hyperlink"/>
          </w:rPr>
          <w:t xml:space="preserve">Weiterbildung</w:t>
        </w:r>
      </w:hyperlink>
      <w:r>
        <w:t xml:space="preserve"> </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ewältigungskapazität"/>
    <w:p>
      <w:pPr>
        <w:pStyle w:val="berschrift3"/>
      </w:pPr>
      <w:r>
        <w:t xml:space="preserve">Bewältigungskapazität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43"/>
    <w:bookmarkStart w:id="44"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es ermöglicht, die Auswirkungen des eigenen Handelns auf die Welt zu verstehen. Sie berücksichtigt dabei explizit planetare Grenzen.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44"/>
    <w:bookmarkStart w:id="45"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5"/>
    <w:bookmarkStart w:id="46"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6"/>
    <w:bookmarkStart w:id="47"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7"/>
    <w:bookmarkStart w:id="48" w:name="change-agents"/>
    <w:p>
      <w:pPr>
        <w:pStyle w:val="berschrift3"/>
      </w:pPr>
      <w:r>
        <w:t xml:space="preserve">Change Agents</w:t>
      </w:r>
    </w:p>
    <w:p>
      <w:pPr>
        <w:pStyle w:val="FirstParagraph"/>
      </w:pPr>
      <w:r>
        <w:t xml:space="preserve">Personen(-gruppen), die aktiv Veränderungen initiieren oder bestehende Prozesse hinterfragen und als Vorreiter:innen und Transformationsbeschleuniger:innen für Stakeholder des Reallabors fungieren</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 </w:t>
      </w:r>
    </w:p>
    <w:p>
      <w:r>
        <w:pict>
          <v:rect style="width:0;height:1.5pt" o:hralign="center" o:hrstd="t" o:hr="t"/>
        </w:pict>
      </w:r>
    </w:p>
    <w:bookmarkEnd w:id="48"/>
    <w:bookmarkStart w:id="49"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Gestaltung und Umsetzung von Wissenschaft durch Bürger:innen.</w:t>
      </w:r>
    </w:p>
    <w:p>
      <w:r>
        <w:pict>
          <v:rect style="width:0;height:1.5pt" o:hralign="center" o:hrstd="t" o:hr="t"/>
        </w:pict>
      </w:r>
    </w:p>
    <w:bookmarkEnd w:id="49"/>
    <w:bookmarkStart w:id="50"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50"/>
    <w:bookmarkStart w:id="51"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1"/>
    <w:bookmarkStart w:id="52"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2"/>
    <w:bookmarkStart w:id="53"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3"/>
    <w:bookmarkStart w:id="54"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4"/>
    <w:bookmarkStart w:id="55"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5"/>
    <w:bookmarkStart w:id="56" w:name="co-site-glossar-1"/>
    <w:p>
      <w:pPr>
        <w:pStyle w:val="berschrift3"/>
      </w:pPr>
      <w:r>
        <w:t xml:space="preserve">Co-Site-Glossar</w:t>
      </w:r>
    </w:p>
    <w:p>
      <w:pPr>
        <w:pStyle w:val="FirstParagraph"/>
      </w:pPr>
      <w:r>
        <w:t xml:space="preserve">Das Glossar des Projekts Co-Site erläutert und beschreibt zentrale Begriffe und Konzepte, die im Kontext des Projekts verwendet werden, für alle Beteiligten verständlich. Es stellt die Basis für eine gemeinsame Kommunikation und Verständigung innerhalb des Projektes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6"/>
    <w:bookmarkStart w:id="57"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7"/>
    <w:bookmarkStart w:id="58" w:name="dateiformat"/>
    <w:p>
      <w:pPr>
        <w:pStyle w:val="berschrift3"/>
      </w:pPr>
      <w:r>
        <w:t xml:space="preserve">Dateiformat</w:t>
      </w:r>
    </w:p>
    <w:p>
      <w:pPr>
        <w:pStyle w:val="FirstParagraph"/>
      </w:pPr>
      <w:r>
        <w:t xml:space="preserve">Definiert, wie Daten in einer Datei organisiert und gespeichert werden, damit Software sie korrekt lesen und verarbeiten kann. Jedes Format ist spezialisiert auf bestimmte Datentypen, z.B. Texte, Videos oder Bilder. Jedes Format hat spezifische Eigenschaften und Einschränkungen. Beispiele für Dateiformaten sind: DOCX, DOC, XLSX, XLS, PPTX, PPT, TXT, RTF, JPEG, PNG, TIFF und BMP</w:t>
      </w:r>
    </w:p>
    <w:p>
      <w:r>
        <w:pict>
          <v:rect style="width:0;height:1.5pt" o:hralign="center" o:hrstd="t" o:hr="t"/>
        </w:pict>
      </w:r>
    </w:p>
    <w:bookmarkEnd w:id="58"/>
    <w:bookmarkStart w:id="59" w:name="datenerfassung"/>
    <w:p>
      <w:pPr>
        <w:pStyle w:val="berschrift3"/>
      </w:pPr>
      <w:r>
        <w:t xml:space="preserve">Datenerfassung</w:t>
      </w:r>
    </w:p>
    <w:p>
      <w:pPr>
        <w:pStyle w:val="FirstParagraph"/>
      </w:pPr>
      <w:r>
        <w:t xml:space="preserve">Ein Prozess der Messung und Sammlung von Informationen über bestimmte Variablen in einem etablierten System, der ermöglicht, dass relevante Fragen beantwortet und Ergebnisse bewertet werden können.</w:t>
      </w:r>
    </w:p>
    <w:p>
      <w:r>
        <w:pict>
          <v:rect style="width:0;height:1.5pt" o:hralign="center" o:hrstd="t" o:hr="t"/>
        </w:pict>
      </w:r>
    </w:p>
    <w:bookmarkEnd w:id="59"/>
    <w:bookmarkStart w:id="60"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60"/>
    <w:bookmarkStart w:id="61"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1"/>
    <w:bookmarkStart w:id="62"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2"/>
    <w:bookmarkStart w:id="63" w:name="deutsche-nachhaltigkeitsstrategie"/>
    <w:p>
      <w:pPr>
        <w:pStyle w:val="berschrift3"/>
      </w:pPr>
      <w:r>
        <w:t xml:space="preserve">Deutsche Nachhaltigkeitsstrategie</w:t>
      </w:r>
    </w:p>
    <w:p>
      <w:pPr>
        <w:pStyle w:val="FirstParagraph"/>
      </w:pPr>
      <w:r>
        <w:rPr>
          <w:b/>
          <w:bCs/>
        </w:rPr>
        <w:t xml:space="preserve">(DNS)</w:t>
      </w:r>
    </w:p>
    <w:p>
      <w:pPr>
        <w:pStyle w:val="BodyText"/>
      </w:pPr>
      <w:r>
        <w:t xml:space="preserve">Die Deutsche Nachhaltigkeitsstrategie bildet die Grundlage zur nationalen Umsetzung der Sustainable Development Goals. Sie unterteilt sich in sechs Transformationsbereiche: menschliches Wohlbefinden und Fähigkeiten, soziale Gerechtigkeit, Energiewende und Klimaschutz, Kreislaufwirtschaft, nachhaltiges Bauen und Verkehrswende, nachhaltige Agrar- und Ernährungssysteme, schadstofffreie Umwelt.</w:t>
      </w:r>
    </w:p>
    <w:p>
      <w:r>
        <w:pict>
          <v:rect style="width:0;height:1.5pt" o:hralign="center" o:hrstd="t" o:hr="t"/>
        </w:pict>
      </w:r>
    </w:p>
    <w:bookmarkEnd w:id="63"/>
    <w:bookmarkStart w:id="64"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4"/>
    <w:bookmarkStart w:id="65"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5"/>
    <w:bookmarkStart w:id="66"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6"/>
    <w:bookmarkStart w:id="67" w:name="digitaler-zwilling"/>
    <w:p>
      <w:pPr>
        <w:pStyle w:val="berschrift3"/>
      </w:pPr>
      <w:r>
        <w:t xml:space="preserve">Digitaler Zwilling</w:t>
      </w:r>
    </w:p>
    <w:p>
      <w:pPr>
        <w:pStyle w:val="FirstParagraph"/>
      </w:pPr>
      <w:r>
        <w:t xml:space="preserve">Ein Digitaler Zwilling ist ein virtuelles Modell eines physischen Objekts oder Systems, welches dessen Merkmale und Verhalten wie bspw. physikalische Eigenschaften zumeist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7"/>
    <w:bookmarkStart w:id="68"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8"/>
    <w:bookmarkStart w:id="69" w:name="dürreindex"/>
    <w:p>
      <w:pPr>
        <w:pStyle w:val="berschrift3"/>
      </w:pPr>
      <w:r>
        <w:t xml:space="preserve">Dürreindex</w:t>
      </w:r>
    </w:p>
    <w:p>
      <w:pPr>
        <w:pStyle w:val="FirstParagraph"/>
      </w:pPr>
      <w:r>
        <w:t xml:space="preserve">Wert, der Niederschlagsmangel eines Aggregationszeitraumes im Vergleich zum beobachteten Defiziten eines Referenzzeitraumes bewertet. Er gibt Ausmaß, Dauer und Intensität von Dürrebedingungen an. Dürreindizes basieren meist auf Niederschlags-, Verdunstungs-, und Bodenfeuchtigkeitsdaten einer Region z.B. Standardized Precipitation Evaporation Index (SPEI) oder Palmer Drought Severity Index (PDSI)</w:t>
      </w:r>
    </w:p>
    <w:p>
      <w:r>
        <w:pict>
          <v:rect style="width:0;height:1.5pt" o:hralign="center" o:hrstd="t" o:hr="t"/>
        </w:pict>
      </w:r>
    </w:p>
    <w:bookmarkEnd w:id="69"/>
    <w:bookmarkStart w:id="70"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70"/>
    <w:bookmarkStart w:id="71"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71"/>
    <w:bookmarkStart w:id="72"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2"/>
    <w:bookmarkStart w:id="73"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Ziel ist es, Wirkungen zu planen sowie Erkenntnisse über Wirksamkeiten zu gewinnen und aus diesen zu lernen.</w:t>
      </w:r>
    </w:p>
    <w:p>
      <w:r>
        <w:pict>
          <v:rect style="width:0;height:1.5pt" o:hralign="center" o:hrstd="t" o:hr="t"/>
        </w:pict>
      </w:r>
    </w:p>
    <w:bookmarkEnd w:id="73"/>
    <w:bookmarkStart w:id="74"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Oberflächengewässern und Böden sowie der Transpiration durch vorallem Vegetation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4"/>
    <w:bookmarkStart w:id="75"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5"/>
    <w:bookmarkStart w:id="76" w:name="exposition"/>
    <w:p>
      <w:pPr>
        <w:pStyle w:val="berschrift3"/>
      </w:pPr>
      <w:r>
        <w:t xml:space="preserve">Exposition</w:t>
      </w:r>
    </w:p>
    <w:p>
      <w:pPr>
        <w:pStyle w:val="FirstParagraph"/>
      </w:pPr>
      <w:r>
        <w:t xml:space="preserve">Exposition beschreibt ob und wie stark eine Person, eine Stadt, ein Gebäude, sonstige Infrastruktur oder ein Ökosytsem gegenüber seinen Umgebungseinflüssen, z. B. einer Gefahr, ausgesetzt ist. Eine hohe Exposition begünstigt das Risiko.</w:t>
      </w:r>
    </w:p>
    <w:p>
      <w:r>
        <w:pict>
          <v:rect style="width:0;height:1.5pt" o:hralign="center" o:hrstd="t" o:hr="t"/>
        </w:pict>
      </w:r>
    </w:p>
    <w:bookmarkEnd w:id="76"/>
    <w:bookmarkStart w:id="77"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7"/>
    <w:bookmarkStart w:id="78" w:name="extensive-dachbegrünung"/>
    <w:p>
      <w:pPr>
        <w:pStyle w:val="berschrift3"/>
      </w:pPr>
      <w:r>
        <w:t xml:space="preserve">Extensive Dachbegrünung</w:t>
      </w:r>
    </w:p>
    <w:p>
      <w:pPr>
        <w:pStyle w:val="FirstParagraph"/>
      </w:pPr>
      <w:r>
        <w:t xml:space="preserve">Extensive Dachbegrünung bezeichnet eine pflegeleichte Form der Begrünung von Dachflächen. Dabei wird eine dünne Substratschicht (5-15 cm) verwendet und die Dächer werden mit robusten, trockenheitsresistenten Pflanzen wie Sedum oder Kräutern bepflanzt. Extensive Dachbegrünung trägt zur Verbesserung des Mikroklimas, zur Reduzierung von Regenwasserabfluss und zur Förderung der Biodiversität bei.</w:t>
      </w:r>
    </w:p>
    <w:p>
      <w:pPr>
        <w:pStyle w:val="BodyText"/>
      </w:pPr>
      <w:r>
        <w:rPr>
          <w:b/>
          <w:bCs/>
        </w:rPr>
        <w:t xml:space="preserve">Verwandt:</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dachbegrünung">
        <w:r>
          <w:rPr>
            <w:rStyle w:val="Hyperlink"/>
          </w:rPr>
          <w:t xml:space="preserve">Dachbegrünung</w:t>
        </w:r>
      </w:hyperlink>
      <w:r>
        <w:t xml:space="preserve"> </w:t>
      </w:r>
    </w:p>
    <w:p>
      <w:r>
        <w:pict>
          <v:rect style="width:0;height:1.5pt" o:hralign="center" o:hrstd="t" o:hr="t"/>
        </w:pict>
      </w:r>
    </w:p>
    <w:bookmarkEnd w:id="78"/>
    <w:bookmarkStart w:id="79"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9"/>
    <w:bookmarkStart w:id="80"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 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80"/>
    <w:bookmarkStart w:id="81"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81"/>
    <w:bookmarkStart w:id="82"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2"/>
    <w:bookmarkStart w:id="83"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3"/>
    <w:bookmarkStart w:id="84"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4"/>
    <w:bookmarkStart w:id="85" w:name="fluviale-überflutung"/>
    <w:p>
      <w:pPr>
        <w:pStyle w:val="berschrift3"/>
      </w:pPr>
      <w:r>
        <w:t xml:space="preserve">Fluviale Überflutung</w:t>
      </w:r>
    </w:p>
    <w:p>
      <w:pPr>
        <w:pStyle w:val="FirstParagraph"/>
      </w:pPr>
      <w:r>
        <w:t xml:space="preserve">Gewässerzustand, bei dem der Wasserstand deutlich über dem normalen Pegelstand liegt und über die Ufer tritt. Überschwemmungen sind die Folge.</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5"/>
    <w:bookmarkStart w:id="86" w:name="formative-evaluation"/>
    <w:p>
      <w:pPr>
        <w:pStyle w:val="berschrift3"/>
      </w:pPr>
      <w:r>
        <w:t xml:space="preserve">Formative Evaluation</w:t>
      </w:r>
    </w:p>
    <w:p>
      <w:pPr>
        <w:pStyle w:val="FirstParagraph"/>
      </w:pPr>
      <w:r>
        <w:t xml:space="preserve">Formative Evaluation findet prozessbegleitend statt und ist wichtiger Bestandteil der Projektumsetzung. Durch den kontinuierlichen Vergleich aktueller Entwicklungen mit der ursprünglichen Zielsetzung ermöglicht sie die frühzeitige Entdeckung von Fehlentwicklungen und damit die Anpassungsfähigkeit an (veränderte) Bedarfe. Wird auch als Synonym für Begleitforschung und Wirkungsmonitoring genutzt.</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6"/>
    <w:bookmarkStart w:id="87"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7"/>
    <w:bookmarkStart w:id="88"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8"/>
    <w:bookmarkStart w:id="89"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Neues anzugehen, Veränderungen zu bewirken, neue Lösungen zu entwickeln.</w:t>
      </w:r>
    </w:p>
    <w:p>
      <w:r>
        <w:pict>
          <v:rect style="width:0;height:1.5pt" o:hralign="center" o:hrstd="t" o:hr="t"/>
        </w:pict>
      </w:r>
    </w:p>
    <w:bookmarkEnd w:id="89"/>
    <w:bookmarkStart w:id="90"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90"/>
    <w:bookmarkStart w:id="91"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91"/>
    <w:bookmarkStart w:id="92"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2"/>
    <w:bookmarkStart w:id="93"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die Vulerabilität oder Schaden von Menschen, Sachgütern und Umwelt zu verhindern oder zu minimieren.</w:t>
      </w:r>
    </w:p>
    <w:p>
      <w:r>
        <w:pict>
          <v:rect style="width:0;height:1.5pt" o:hralign="center" o:hrstd="t" o:hr="t"/>
        </w:pict>
      </w:r>
    </w:p>
    <w:bookmarkEnd w:id="93"/>
    <w:bookmarkStart w:id="94"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4"/>
    <w:bookmarkStart w:id="95"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5"/>
    <w:bookmarkStart w:id="96"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z.B.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6"/>
    <w:bookmarkStart w:id="97"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7"/>
    <w:bookmarkStart w:id="98"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8"/>
    <w:bookmarkStart w:id="99" w:name="geodatendienste"/>
    <w:p>
      <w:pPr>
        <w:pStyle w:val="berschrift3"/>
      </w:pPr>
      <w:r>
        <w:t xml:space="preserve">Geodatendienste</w:t>
      </w:r>
    </w:p>
    <w:p>
      <w:pPr>
        <w:pStyle w:val="FirstParagraph"/>
      </w:pPr>
      <w:r>
        <w:t xml:space="preserve">Dienste, die den Zugang zu und die Verarbeitung von Geodaten über das Netz ermöglichen.</w:t>
      </w:r>
    </w:p>
    <w:p>
      <w:r>
        <w:pict>
          <v:rect style="width:0;height:1.5pt" o:hralign="center" o:hrstd="t" o:hr="t"/>
        </w:pict>
      </w:r>
    </w:p>
    <w:bookmarkEnd w:id="99"/>
    <w:bookmarkStart w:id="100"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100"/>
    <w:bookmarkStart w:id="101"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101"/>
    <w:bookmarkStart w:id="102"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2"/>
    <w:bookmarkStart w:id="103" w:name="geodatenverarbeitung"/>
    <w:p>
      <w:pPr>
        <w:pStyle w:val="berschrift3"/>
      </w:pPr>
      <w:r>
        <w:t xml:space="preserve">Geodatenverarbeitung</w:t>
      </w:r>
    </w:p>
    <w:p>
      <w:pPr>
        <w:pStyle w:val="FirstParagraph"/>
      </w:pPr>
      <w:r>
        <w:t xml:space="preserve">Verwendung von speziellen Werkzeugen und / oder Software zur Bearbeitung von Geodaten, um ein abgeleitetes Geodatenprodukt zu erhalten</w:t>
      </w:r>
    </w:p>
    <w:p>
      <w:r>
        <w:pict>
          <v:rect style="width:0;height:1.5pt" o:hralign="center" o:hrstd="t" o:hr="t"/>
        </w:pict>
      </w:r>
    </w:p>
    <w:bookmarkEnd w:id="103"/>
    <w:bookmarkStart w:id="104"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4"/>
    <w:bookmarkStart w:id="105" w:name="geokodierung"/>
    <w:p>
      <w:pPr>
        <w:pStyle w:val="berschrift3"/>
      </w:pPr>
      <w:r>
        <w:t xml:space="preserve">Geokodierung</w:t>
      </w:r>
    </w:p>
    <w:p>
      <w:pPr>
        <w:pStyle w:val="FirstParagraph"/>
      </w:pPr>
      <w:r>
        <w:t xml:space="preserve">Der Prozess der Umwandlung von Adressen (z.B. einer Straßenadresse) in geografische Koordinaten (z. B. Breiten- und Längengrad).</w:t>
      </w:r>
    </w:p>
    <w:p>
      <w:r>
        <w:pict>
          <v:rect style="width:0;height:1.5pt" o:hralign="center" o:hrstd="t" o:hr="t"/>
        </w:pict>
      </w:r>
    </w:p>
    <w:bookmarkEnd w:id="105"/>
    <w:bookmarkStart w:id="106"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6"/>
    <w:bookmarkStart w:id="107"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7"/>
    <w:bookmarkStart w:id="108"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8"/>
    <w:bookmarkStart w:id="109" w:name="geoserver"/>
    <w:p>
      <w:pPr>
        <w:pStyle w:val="berschrift3"/>
      </w:pPr>
      <w:r>
        <w:t xml:space="preserve">GeoServer</w:t>
      </w:r>
    </w:p>
    <w:p>
      <w:pPr>
        <w:pStyle w:val="FirstParagraph"/>
      </w:pPr>
      <w:r>
        <w:t xml:space="preserve">Ein Open Source-Webserver auf Java-Basis, der es Benutzer:innen ermöglicht, Geodaten unter Verwendung der vom Open Geospatial Consortium (OGC) definierten offenen Standards zu visualisieren und zu bearbeiten.</w:t>
      </w:r>
    </w:p>
    <w:p>
      <w:r>
        <w:pict>
          <v:rect style="width:0;height:1.5pt" o:hralign="center" o:hrstd="t" o:hr="t"/>
        </w:pict>
      </w:r>
    </w:p>
    <w:bookmarkEnd w:id="109"/>
    <w:bookmarkStart w:id="110"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Multimedia-Inhalten wie Bildern und Videos oder anderen Inhalten Dritter ansprechende Geschichten zu erstellen.</w:t>
      </w:r>
    </w:p>
    <w:p>
      <w:r>
        <w:pict>
          <v:rect style="width:0;height:1.5pt" o:hralign="center" o:hrstd="t" o:hr="t"/>
        </w:pict>
      </w:r>
    </w:p>
    <w:bookmarkEnd w:id="110"/>
    <w:bookmarkStart w:id="111"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11"/>
    <w:bookmarkStart w:id="112"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2"/>
    <w:bookmarkStart w:id="113" w:name="green-skills"/>
    <w:p>
      <w:pPr>
        <w:pStyle w:val="berschrift3"/>
      </w:pPr>
      <w:r>
        <w:t xml:space="preserve">Green Skills</w:t>
      </w:r>
    </w:p>
    <w:p>
      <w:pPr>
        <w:pStyle w:val="FirstParagraph"/>
      </w:pPr>
      <w:r>
        <w:t xml:space="preserve">Green Skills umfassen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3"/>
    <w:bookmarkStart w:id="114"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4"/>
    <w:bookmarkStart w:id="115" w:name="grundhochwasser"/>
    <w:p>
      <w:pPr>
        <w:pStyle w:val="berschrift3"/>
      </w:pPr>
      <w:r>
        <w:t xml:space="preserve">Grundhochwasser</w:t>
      </w:r>
    </w:p>
    <w:p>
      <w:pPr>
        <w:pStyle w:val="FirstParagraph"/>
      </w:pPr>
      <w:r>
        <w:t xml:space="preserve">Bei normalem Wasserstand fließt Grundwasser z.B. in Richtung von Flüssen oder Senken ab. Bei Flusshochwasser strömt jedoch Flusswasser in Richtung des Landes, weshalb das Grundwasser nicht mehr abfließen kann. Das nicht abfließende Grundwasser steigt an und führt zu Überflutungen durch Grundhochwasser.</w:t>
      </w:r>
    </w:p>
    <w:p>
      <w:r>
        <w:pict>
          <v:rect style="width:0;height:1.5pt" o:hralign="center" o:hrstd="t" o:hr="t"/>
        </w:pict>
      </w:r>
    </w:p>
    <w:bookmarkEnd w:id="115"/>
    <w:bookmarkStart w:id="116"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6"/>
    <w:bookmarkStart w:id="11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7"/>
    <w:bookmarkStart w:id="118"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8"/>
    <w:bookmarkStart w:id="119"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der Nutzdenden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9"/>
    <w:bookmarkStart w:id="120"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20"/>
    <w:bookmarkStart w:id="121"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21"/>
    <w:bookmarkStart w:id="122"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2"/>
    <w:bookmarkStart w:id="12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3"/>
    <w:bookmarkStart w:id="124" w:name="impact"/>
    <w:p>
      <w:pPr>
        <w:pStyle w:val="berschrift3"/>
      </w:pPr>
      <w:r>
        <w:t xml:space="preserve">Impact</w:t>
      </w:r>
    </w:p>
    <w:p>
      <w:pPr>
        <w:pStyle w:val="FirstParagraph"/>
      </w:pPr>
      <w:r>
        <w:t xml:space="preserve">Impact bezeichnet Veränderungen auf überliegender, gesellschaftlicher Ebene, wie beispielsweise weitreichende strukturelle oder systemische Veränderungen, Verhaltensänderungen usw., auf die Projektaktivitäten hinwirken sollen.</w:t>
      </w:r>
    </w:p>
    <w:p>
      <w:r>
        <w:pict>
          <v:rect style="width:0;height:1.5pt" o:hralign="center" o:hrstd="t" o:hr="t"/>
        </w:pict>
      </w:r>
    </w:p>
    <w:bookmarkEnd w:id="124"/>
    <w:bookmarkStart w:id="125"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5"/>
    <w:bookmarkStart w:id="126"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6"/>
    <w:bookmarkStart w:id="127" w:name="input"/>
    <w:p>
      <w:pPr>
        <w:pStyle w:val="berschrift3"/>
      </w:pPr>
      <w:r>
        <w:t xml:space="preserve">Input</w:t>
      </w:r>
    </w:p>
    <w:p>
      <w:pPr>
        <w:pStyle w:val="FirstParagraph"/>
      </w:pPr>
      <w:r>
        <w:t xml:space="preserve">Ressourcen, wie z.B. Arbeitskräfte, Sach- und Finanzmittel, die im Projekt eingebacht werden können.</w:t>
      </w:r>
    </w:p>
    <w:p>
      <w:r>
        <w:pict>
          <v:rect style="width:0;height:1.5pt" o:hralign="center" o:hrstd="t" o:hr="t"/>
        </w:pict>
      </w:r>
    </w:p>
    <w:bookmarkEnd w:id="127"/>
    <w:bookmarkStart w:id="128" w:name="intensive-dachbegrünung"/>
    <w:p>
      <w:pPr>
        <w:pStyle w:val="berschrift3"/>
      </w:pPr>
      <w:r>
        <w:t xml:space="preserve">Intensive Dachbegrünung</w:t>
      </w:r>
    </w:p>
    <w:p>
      <w:pPr>
        <w:pStyle w:val="FirstParagraph"/>
      </w:pPr>
      <w:r>
        <w:t xml:space="preserve">Intensive Dachbegrünung bezeichnet eine Form der Begrünung von Dächern, bei der eine dickere Substratschicht (&gt;15 cm) verwendet wird. Diese Art der Begrünung ermöglicht eine vielfältige Pflanzenwahl, wie z.B. Sträucher und kleine Bäume. Intensive Dachbegrünungen erfordern regelmäßige Pflege und Bewässerung, bieten aber Vorteile wie verbesserte Luftqualität, Regenwasserrückhaltung und Wärmedämmung.</w:t>
      </w:r>
    </w:p>
    <w:p>
      <w:r>
        <w:pict>
          <v:rect style="width:0;height:1.5pt" o:hralign="center" o:hrstd="t" o:hr="t"/>
        </w:pict>
      </w:r>
    </w:p>
    <w:bookmarkEnd w:id="128"/>
    <w:bookmarkStart w:id="129"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9"/>
    <w:bookmarkStart w:id="130"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30"/>
    <w:bookmarkStart w:id="131" w:name="kartenprojektion"/>
    <w:p>
      <w:pPr>
        <w:pStyle w:val="berschrift3"/>
      </w:pPr>
      <w:r>
        <w:t xml:space="preserve">Kartenprojektion</w:t>
      </w:r>
    </w:p>
    <w:p>
      <w:pPr>
        <w:pStyle w:val="FirstParagraph"/>
      </w:pPr>
      <w:r>
        <w:t xml:space="preserve">Mathematisches Verfahren zur Darstellung der dreidimensionalen Erdoberfläche als zweidimensionale ebene Fläche. Es gibt verschiedene Projektionen mit unterschiedlichen Eigenschaften, z.B. Winkel- oder Flächentreue. Dabei gibt es Verzerrungen, da zweidimensionale Projektionen die dreidimensionale Realität nur annähern können. Die Wahl der Projektion für eine Anwendung hängt von Zweck und Region ab.</w:t>
      </w:r>
    </w:p>
    <w:p>
      <w:r>
        <w:pict>
          <v:rect style="width:0;height:1.5pt" o:hralign="center" o:hrstd="t" o:hr="t"/>
        </w:pict>
      </w:r>
    </w:p>
    <w:bookmarkEnd w:id="131"/>
    <w:bookmarkStart w:id="132"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2"/>
    <w:bookmarkStart w:id="133" w:name="katastrophe"/>
    <w:p>
      <w:pPr>
        <w:pStyle w:val="berschrift3"/>
      </w:pPr>
      <w:r>
        <w:t xml:space="preserve">Katastrophe</w:t>
      </w:r>
    </w:p>
    <w:p>
      <w:pPr>
        <w:pStyle w:val="FirstParagraph"/>
      </w:pPr>
      <w:r>
        <w:t xml:space="preserve">Eine schwerwiegende Störung des Funktionierens eines Gemeinwesens oder einer Gesellschaft auf beliebiger Ebene. Dies verursacht u.a.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3"/>
    <w:bookmarkStart w:id="134"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4"/>
    <w:bookmarkStart w:id="135"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5"/>
    <w:bookmarkStart w:id="136"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6"/>
    <w:bookmarkStart w:id="137"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7"/>
    <w:bookmarkStart w:id="138"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8"/>
    <w:bookmarkStart w:id="139"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9"/>
    <w:bookmarkStart w:id="140"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40"/>
    <w:bookmarkStart w:id="141" w:name="kollaborativ"/>
    <w:p>
      <w:pPr>
        <w:pStyle w:val="berschrift3"/>
      </w:pPr>
      <w:r>
        <w:t xml:space="preserve">Kollaborativ</w:t>
      </w:r>
    </w:p>
    <w:p>
      <w:pPr>
        <w:pStyle w:val="FirstParagraph"/>
      </w:pPr>
      <w:r>
        <w:t xml:space="preserve">Kollaboration bedeutet bzgl. eines gemeinsamen Ziels zusammenzuarbeiten. Hierbei geht es darum, gemeinsam im Team Probleme so zu lösen und Ideen zu entwickeln, in denen verschiedene Sichtweisen integriert sind.</w:t>
      </w:r>
    </w:p>
    <w:p>
      <w:r>
        <w:pict>
          <v:rect style="width:0;height:1.5pt" o:hralign="center" o:hrstd="t" o:hr="t"/>
        </w:pict>
      </w:r>
    </w:p>
    <w:bookmarkEnd w:id="141"/>
    <w:bookmarkStart w:id="142"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2"/>
    <w:bookmarkStart w:id="143" w:name="koordinatensystem"/>
    <w:p>
      <w:pPr>
        <w:pStyle w:val="berschrift3"/>
      </w:pPr>
      <w:r>
        <w:t xml:space="preserve">Koordinatensystem</w:t>
      </w:r>
    </w:p>
    <w:p>
      <w:pPr>
        <w:pStyle w:val="FirstParagraph"/>
      </w:pPr>
      <w:r>
        <w:t xml:space="preserve">Ein Referenzsystem, um die Position eines Objekts im Raum mit Hilfe von Zahlen (Koordinaten) zu beschreiben</w:t>
      </w:r>
    </w:p>
    <w:p>
      <w:r>
        <w:pict>
          <v:rect style="width:0;height:1.5pt" o:hralign="center" o:hrstd="t" o:hr="t"/>
        </w:pict>
      </w:r>
    </w:p>
    <w:bookmarkEnd w:id="143"/>
    <w:bookmarkStart w:id="14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4"/>
    <w:bookmarkStart w:id="145" w:name="krisenmanagement"/>
    <w:p>
      <w:pPr>
        <w:pStyle w:val="berschrift3"/>
      </w:pPr>
      <w:r>
        <w:t xml:space="preserve">Krisenmanagement</w:t>
      </w:r>
    </w:p>
    <w:p>
      <w:pPr>
        <w:pStyle w:val="FirstParagraph"/>
      </w:pPr>
      <w:r>
        <w:t xml:space="preserve">Alle Maßnahmen zur Vorbereitung auf Erkennung und Bewältigung, Vermeidung weiterer Eskalation sowie Nachbereitung von Krisen. (Bundesamt für Bevölkerungsschutz und Katastrophenhilfe 2024: Glossar)</w:t>
      </w:r>
    </w:p>
    <w:p>
      <w:r>
        <w:pict>
          <v:rect style="width:0;height:1.5pt" o:hralign="center" o:hrstd="t" o:hr="t"/>
        </w:pict>
      </w:r>
    </w:p>
    <w:bookmarkEnd w:id="145"/>
    <w:bookmarkStart w:id="146"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6"/>
    <w:bookmarkStart w:id="147"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von wichtiger Bedeutung für das Gemeinwesen eines Staates. Ihr Ausfall oder ihre Beeinträchtigung würde nachhaltig wirkende Versorgungsengpässe, erhebliche Störungen der öffentlichen Sicherheit oder andere dramatische Folgen nach sich ziehen.</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7"/>
    <w:bookmarkStart w:id="148" w:name="kritis-sektoren"/>
    <w:p>
      <w:pPr>
        <w:pStyle w:val="berschrift3"/>
      </w:pPr>
      <w:r>
        <w:t xml:space="preserve">KRITIS-Sektoren</w:t>
      </w:r>
    </w:p>
    <w:p>
      <w:pPr>
        <w:pStyle w:val="FirstParagraph"/>
      </w:pPr>
      <w:r>
        <w:t xml:space="preserve">Die Gesamtheit aller Sektoren, die laut Innenministerium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8"/>
    <w:bookmarkStart w:id="149"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9"/>
    <w:bookmarkStart w:id="150"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50"/>
    <w:bookmarkStart w:id="151"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51"/>
    <w:bookmarkStart w:id="152"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2"/>
    <w:bookmarkStart w:id="153"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3"/>
    <w:bookmarkStart w:id="154"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4"/>
    <w:bookmarkStart w:id="155"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5"/>
    <w:bookmarkStart w:id="156"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6"/>
    <w:bookmarkStart w:id="157"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und ermöglicht Interaktionen in beide Richtungen zwischen realen und digitalen Komponenten.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w:t>
      </w:r>
      <w:r>
        <w:t xml:space="preserve"> </w:t>
      </w:r>
      <w:hyperlink w:anchor="virtual-reality">
        <w:r>
          <w:rPr>
            <w:rStyle w:val="Hyperlink"/>
          </w:rPr>
          <w:t xml:space="preserve">Virtual Reality</w:t>
        </w:r>
      </w:hyperlink>
      <w:r>
        <w:t xml:space="preserve">,</w:t>
      </w:r>
      <w:r>
        <w:t xml:space="preserve"> </w:t>
      </w:r>
      <w:hyperlink w:anchor="augmented-virtuality">
        <w:r>
          <w:rPr>
            <w:rStyle w:val="Hyperlink"/>
          </w:rPr>
          <w:t xml:space="preserve">Augmented Virtuality</w:t>
        </w:r>
      </w:hyperlink>
      <w:r>
        <w:t xml:space="preserve"> </w:t>
      </w:r>
    </w:p>
    <w:p>
      <w:r>
        <w:pict>
          <v:rect style="width:0;height:1.5pt" o:hralign="center" o:hrstd="t" o:hr="t"/>
        </w:pict>
      </w:r>
    </w:p>
    <w:bookmarkEnd w:id="157"/>
    <w:bookmarkStart w:id="158" w:name="modellregionen"/>
    <w:p>
      <w:pPr>
        <w:pStyle w:val="berschrift3"/>
      </w:pPr>
      <w:r>
        <w:t xml:space="preserve">Modellregionen</w:t>
      </w:r>
    </w:p>
    <w:p>
      <w:pPr>
        <w:pStyle w:val="FirstParagraph"/>
      </w:pPr>
      <w:r>
        <w:t xml:space="preserve">Räumlich abgegrenzte Gebiete, in denen Transformation exemplarisch im regionalen Kontext erprobt und evaluiert wird. Dabei kann die Abgrenzung auf unterschiedlichen Konzepten basieren, z.B. Kommune, Städte oder Flusseinzugsgebiete. In Co-Site sind die Modellregionen Kommunen oder Städte.</w:t>
      </w:r>
    </w:p>
    <w:p>
      <w:r>
        <w:pict>
          <v:rect style="width:0;height:1.5pt" o:hralign="center" o:hrstd="t" o:hr="t"/>
        </w:pict>
      </w:r>
    </w:p>
    <w:bookmarkEnd w:id="158"/>
    <w:bookmarkStart w:id="159"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9"/>
    <w:bookmarkStart w:id="160"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 ökologisch tragfähig, sozial gerecht und wirtschaftlich effizient – werden dabei gleichberechtigt betrachtet.</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w:t>
      </w:r>
      <w:r>
        <w:t xml:space="preserve"> </w:t>
      </w:r>
      <w:hyperlink w:anchor="nachhaltigkeitsmanagement">
        <w:r>
          <w:rPr>
            <w:rStyle w:val="Hyperlink"/>
          </w:rPr>
          <w:t xml:space="preserve">Nachhaltigkeitsmanagement</w:t>
        </w:r>
      </w:hyperlink>
      <w:r>
        <w:t xml:space="preserve">,</w:t>
      </w:r>
      <w:r>
        <w:t xml:space="preserve"> </w:t>
      </w:r>
      <w:hyperlink w:anchor="sustainable-development-goals">
        <w:r>
          <w:rPr>
            <w:rStyle w:val="Hyperlink"/>
          </w:rPr>
          <w:t xml:space="preserve">Sustainable Development Goals</w:t>
        </w:r>
      </w:hyperlink>
      <w:r>
        <w:t xml:space="preserve"> </w:t>
      </w:r>
    </w:p>
    <w:p>
      <w:r>
        <w:pict>
          <v:rect style="width:0;height:1.5pt" o:hralign="center" o:hrstd="t" o:hr="t"/>
        </w:pict>
      </w:r>
    </w:p>
    <w:bookmarkEnd w:id="160"/>
    <w:bookmarkStart w:id="161" w:name="nachhaltigkeitsmanagement"/>
    <w:p>
      <w:pPr>
        <w:pStyle w:val="berschrift3"/>
      </w:pPr>
      <w:r>
        <w:t xml:space="preserve">Nachhaltigkeitsmanagement</w:t>
      </w:r>
    </w:p>
    <w:p>
      <w:pPr>
        <w:pStyle w:val="FirstParagraph"/>
      </w:pPr>
      <w:r>
        <w:t xml:space="preserve">Umfasst die systematische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Verwandt:</w:t>
      </w:r>
      <w:r>
        <w:rPr>
          <w:b/>
          <w:bCs/>
        </w:rPr>
        <w:t xml:space="preserve"> </w:t>
      </w:r>
      <w:r>
        <w:rPr>
          <w:b/>
          <w:bCs/>
        </w:rPr>
        <w:t xml:space="preserve"> </w:t>
      </w:r>
      <w:r>
        <w:t xml:space="preserve"> </w:t>
      </w:r>
      <w:hyperlink w:anchor="nachhaltigkeitsstrategie">
        <w:r>
          <w:rPr>
            <w:rStyle w:val="Hyperlink"/>
          </w:rPr>
          <w:t xml:space="preserve">Nachhaltigkeitsstrategie</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nachhaltigkeit">
        <w:r>
          <w:rPr>
            <w:rStyle w:val="Hyperlink"/>
          </w:rPr>
          <w:t xml:space="preserve">Nachhaltigkeit</w:t>
        </w:r>
      </w:hyperlink>
      <w:r>
        <w:t xml:space="preserve"> </w:t>
      </w:r>
    </w:p>
    <w:p>
      <w:r>
        <w:pict>
          <v:rect style="width:0;height:1.5pt" o:hralign="center" o:hrstd="t" o:hr="t"/>
        </w:pict>
      </w:r>
    </w:p>
    <w:bookmarkEnd w:id="161"/>
    <w:bookmarkStart w:id="162"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Verwandt:</w:t>
      </w:r>
      <w:r>
        <w:rPr>
          <w:b/>
          <w:bCs/>
        </w:rPr>
        <w:t xml:space="preserve"> </w:t>
      </w:r>
      <w:r>
        <w:rPr>
          <w:b/>
          <w:bCs/>
        </w:rPr>
        <w:t xml:space="preserve"> </w:t>
      </w:r>
      <w:r>
        <w:t xml:space="preserve"> </w:t>
      </w:r>
      <w:hyperlink w:anchor="nachhaltigkeitsmanagement">
        <w:r>
          <w:rPr>
            <w:rStyle w:val="Hyperlink"/>
          </w:rPr>
          <w:t xml:space="preserve">Nachhaltigkeitsmanagement</w:t>
        </w:r>
      </w:hyperlink>
      <w:r>
        <w:t xml:space="preserve"> </w:t>
      </w:r>
    </w:p>
    <w:p>
      <w:r>
        <w:pict>
          <v:rect style="width:0;height:1.5pt" o:hralign="center" o:hrstd="t" o:hr="t"/>
        </w:pict>
      </w:r>
    </w:p>
    <w:bookmarkEnd w:id="162"/>
    <w:bookmarkStart w:id="163" w:name="naturbasierte-lösung"/>
    <w:p>
      <w:pPr>
        <w:pStyle w:val="berschrift3"/>
      </w:pPr>
      <w:r>
        <w:t xml:space="preserve">Naturbasierte Lösung</w:t>
      </w:r>
    </w:p>
    <w:p>
      <w:pPr>
        <w:pStyle w:val="FirstParagraph"/>
      </w:pPr>
      <w:r>
        <w:t xml:space="preserve">Naturbasierte Lösungen (Nature-based Solutions) sind Maßnahmen, die von der Natur inspiriert und durch sie unterstützt werden, sie gehen (gesellschaftliche)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3"/>
    <w:bookmarkStart w:id="164"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4"/>
    <w:bookmarkStart w:id="165"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5"/>
    <w:bookmarkStart w:id="166" w:name="ökosystemdienstleistungen"/>
    <w:p>
      <w:pPr>
        <w:pStyle w:val="berschrift3"/>
      </w:pPr>
      <w:r>
        <w:t xml:space="preserve">Ökosystemdienstleistungen</w:t>
      </w:r>
    </w:p>
    <w:p>
      <w:pPr>
        <w:pStyle w:val="FirstParagraph"/>
      </w:pPr>
      <w:r>
        <w:t xml:space="preserve">Leistungen, die ein Ökosystem dem Menschen bereitstellt. Sie sind entscheidend für das menschliche Wohlbefinden und die nachhaltige Entwicklung und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6"/>
    <w:bookmarkStart w:id="167"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7"/>
    <w:bookmarkStart w:id="168"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Expert:innenkonsortium, das sich für die Verbesserung des Zugriffs auf Geodaten oder Standortinformationen einsetzt.</w:t>
      </w:r>
    </w:p>
    <w:p>
      <w:r>
        <w:pict>
          <v:rect style="width:0;height:1.5pt" o:hralign="center" o:hrstd="t" o:hr="t"/>
        </w:pict>
      </w:r>
    </w:p>
    <w:bookmarkEnd w:id="168"/>
    <w:bookmarkStart w:id="169"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Akteur:innen fördern.</w:t>
      </w:r>
    </w:p>
    <w:p>
      <w:r>
        <w:pict>
          <v:rect style="width:0;height:1.5pt" o:hralign="center" o:hrstd="t" o:hr="t"/>
        </w:pict>
      </w:r>
    </w:p>
    <w:bookmarkEnd w:id="169"/>
    <w:bookmarkStart w:id="170" w:name="outcome"/>
    <w:p>
      <w:pPr>
        <w:pStyle w:val="berschrift3"/>
      </w:pPr>
      <w:r>
        <w:t xml:space="preserve">Outcome</w:t>
      </w:r>
    </w:p>
    <w:p>
      <w:pPr>
        <w:pStyle w:val="FirstParagraph"/>
      </w:pPr>
      <w:r>
        <w:t xml:space="preserve">Outcomes bezeichnen kurz- und mittelfristige Veränderungen im direkten Projektkontext und in der Zielgruppe, die durch Projektaktivitäten bewirkt wurden (z.B. Lerneffekte, Beziehungsaufbau, direkte Verbesserung der Situation usw.).</w:t>
      </w:r>
    </w:p>
    <w:p>
      <w:r>
        <w:pict>
          <v:rect style="width:0;height:1.5pt" o:hralign="center" o:hrstd="t" o:hr="t"/>
        </w:pict>
      </w:r>
    </w:p>
    <w:bookmarkEnd w:id="170"/>
    <w:bookmarkStart w:id="171" w:name="output"/>
    <w:p>
      <w:pPr>
        <w:pStyle w:val="berschrift3"/>
      </w:pPr>
      <w:r>
        <w:t xml:space="preserve">Output</w:t>
      </w:r>
    </w:p>
    <w:p>
      <w:pPr>
        <w:pStyle w:val="FirstParagraph"/>
      </w:pPr>
      <w:r>
        <w:t xml:space="preserve">Outputs sind Leistungen und Produkte, wie z.B. Workshops, Konzepte, neue Tools etc., die durch Projektaktivitäten hervorgebracht werden, um Wirkungsziele zu erreichen.</w:t>
      </w:r>
    </w:p>
    <w:p>
      <w:r>
        <w:pict>
          <v:rect style="width:0;height:1.5pt" o:hralign="center" o:hrstd="t" o:hr="t"/>
        </w:pict>
      </w:r>
    </w:p>
    <w:bookmarkEnd w:id="171"/>
    <w:bookmarkStart w:id="172"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2"/>
    <w:bookmarkStart w:id="173"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3"/>
    <w:bookmarkStart w:id="174"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4"/>
    <w:bookmarkStart w:id="175" w:name="permeable-oberflächen"/>
    <w:p>
      <w:pPr>
        <w:pStyle w:val="berschrift3"/>
      </w:pPr>
      <w:r>
        <w:t xml:space="preserve">Permeable Oberflächen</w:t>
      </w:r>
    </w:p>
    <w:p>
      <w:pPr>
        <w:pStyle w:val="FirstParagraph"/>
      </w:pPr>
      <w:r>
        <w:t xml:space="preserve">Durchlässige Oberflächen sind Materialien oder Bauweisen, die Wasser durch die Oberfläche hindurch in den darunterliegenden Boden sickern lassen. Sie können aus durchlässigem Beton, offenporigem Asphalt, durchlässigen Verbundpflastersteinen oder offenen Wiesen/Flächen bestehen.</w:t>
      </w:r>
    </w:p>
    <w:p>
      <w:r>
        <w:pict>
          <v:rect style="width:0;height:1.5pt" o:hralign="center" o:hrstd="t" o:hr="t"/>
        </w:pict>
      </w:r>
    </w:p>
    <w:bookmarkEnd w:id="175"/>
    <w:bookmarkStart w:id="176"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6"/>
    <w:bookmarkStart w:id="177" w:name="pluviales-hochwasser"/>
    <w:p>
      <w:pPr>
        <w:pStyle w:val="berschrift3"/>
      </w:pPr>
      <w:r>
        <w:t xml:space="preserve">Pluviales Hochwasser</w:t>
      </w:r>
    </w:p>
    <w:p>
      <w:pPr>
        <w:pStyle w:val="FirstParagraph"/>
      </w:pPr>
      <w:r>
        <w:t xml:space="preserve">Überflutung durch massive Niederschläge, die der Boden nicht mehr aufnehmen kann. Sie treten ohne Abhängigkeit von Fließgewässern auf.</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7"/>
    <w:bookmarkStart w:id="178"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8"/>
    <w:bookmarkStart w:id="179"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9"/>
    <w:bookmarkStart w:id="180"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80"/>
    <w:bookmarkStart w:id="181"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1"/>
    <w:bookmarkStart w:id="182"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2"/>
    <w:bookmarkStart w:id="183"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3"/>
    <w:bookmarkStart w:id="18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4"/>
    <w:bookmarkStart w:id="185"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5"/>
    <w:bookmarkStart w:id="186"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 Sie werden verwendet, um räumliche Informationen darzustellen</w:t>
      </w:r>
    </w:p>
    <w:p>
      <w:r>
        <w:pict>
          <v:rect style="width:0;height:1.5pt" o:hralign="center" o:hrstd="t" o:hr="t"/>
        </w:pict>
      </w:r>
    </w:p>
    <w:bookmarkEnd w:id="186"/>
    <w:bookmarkStart w:id="187"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7"/>
    <w:bookmarkStart w:id="188"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8"/>
    <w:bookmarkStart w:id="189"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9"/>
    <w:bookmarkStart w:id="190" w:name="reallabor"/>
    <w:p>
      <w:pPr>
        <w:pStyle w:val="berschrift3"/>
      </w:pPr>
      <w:r>
        <w:t xml:space="preserve">Reallabor</w:t>
      </w:r>
    </w:p>
    <w:p>
      <w:pPr>
        <w:pStyle w:val="FirstParagraph"/>
      </w:pPr>
      <w:r>
        <w:t xml:space="preserve">Ein Reallabor ist ein instutionell-struktureller Rahmen, der z. 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90"/>
    <w:bookmarkStart w:id="191"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1"/>
    <w:bookmarkStart w:id="192"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2"/>
    <w:bookmarkStart w:id="19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(bis auf eine mögliche touristische Funktion), sondern es werden naturnahe Lebensräume geschaffen indem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3"/>
    <w:bookmarkStart w:id="19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4"/>
    <w:bookmarkStart w:id="195"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5"/>
    <w:bookmarkStart w:id="196"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6"/>
    <w:bookmarkStart w:id="19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7"/>
    <w:bookmarkStart w:id="19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8"/>
    <w:bookmarkStart w:id="199" w:name="risikokarte"/>
    <w:p>
      <w:pPr>
        <w:pStyle w:val="berschrift3"/>
      </w:pPr>
      <w:r>
        <w:t xml:space="preserve">Risikokarte</w:t>
      </w:r>
    </w:p>
    <w:p>
      <w:pPr>
        <w:pStyle w:val="FirstParagraph"/>
      </w:pPr>
      <w:r>
        <w:t xml:space="preserve">Ist eine Karte, welche die Auswirkung einer Gefahr auf eine angegebene Fläche beschreibt. Dabei wird beispielsweise die Anzahl der betroffenen Bevölkerung, die Art der wirtschaftlichen Tätigkeiten sowie das Vorhandensein von Kulturstätten betrachtet.</w:t>
      </w:r>
    </w:p>
    <w:p>
      <w:r>
        <w:pict>
          <v:rect style="width:0;height:1.5pt" o:hralign="center" o:hrstd="t" o:hr="t"/>
        </w:pict>
      </w:r>
    </w:p>
    <w:bookmarkEnd w:id="199"/>
    <w:bookmarkStart w:id="200" w:name="risikomanagement"/>
    <w:p>
      <w:pPr>
        <w:pStyle w:val="berschrift3"/>
      </w:pPr>
      <w:r>
        <w:t xml:space="preserve">Risikomanagement</w:t>
      </w:r>
    </w:p>
    <w:p>
      <w:pPr>
        <w:pStyle w:val="FirstParagraph"/>
      </w:pPr>
      <w:r>
        <w:t xml:space="preserve">Ist ein systematischer Prozess, um Risiken zu identifizieren, zu bewerten und zu steuern. Ziel ist es, potenzielle Gefahren oder Schäden frühzeitig zu erkennen, deren Auswirkungen abzuschätzen und geeignete Maßnahmen zur Risikovermeidung, -minderung oder -akzeptanz zu ergreifen.</w:t>
      </w:r>
    </w:p>
    <w:p>
      <w:r>
        <w:pict>
          <v:rect style="width:0;height:1.5pt" o:hralign="center" o:hrstd="t" o:hr="t"/>
        </w:pict>
      </w:r>
    </w:p>
    <w:bookmarkEnd w:id="200"/>
    <w:bookmarkStart w:id="201"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1"/>
    <w:bookmarkStart w:id="202"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2"/>
    <w:bookmarkStart w:id="203"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3"/>
    <w:bookmarkStart w:id="204"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die Wasser- und Lebensqualität werden verbessert.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4"/>
    <w:bookmarkStart w:id="205" w:name="sensitivität"/>
    <w:p>
      <w:pPr>
        <w:pStyle w:val="berschrift3"/>
      </w:pPr>
      <w:r>
        <w:t xml:space="preserve">Sensitivität</w:t>
      </w:r>
    </w:p>
    <w:p>
      <w:pPr>
        <w:pStyle w:val="FirstParagraph"/>
      </w:pPr>
      <w:r>
        <w:t xml:space="preserve">Das Ausmaß, in dem ein System oder eine Gruppe durch Veränderungen von Rahmenbedingungen und anderen Faktoren beeinflusst wird. Im Kontext des Klimawandels, bezieht sich Sensitivität auf das Ausmaß, in dem ein System oder eine Art durch Klimaschwankungen oder -veränderungen (z.B. Häufigkeit von Extremereignissen, stärkere Temperaturschwankungen) beeinflusst wird.</w:t>
      </w:r>
    </w:p>
    <w:p>
      <w:r>
        <w:pict>
          <v:rect style="width:0;height:1.5pt" o:hralign="center" o:hrstd="t" o:hr="t"/>
        </w:pict>
      </w:r>
    </w:p>
    <w:bookmarkEnd w:id="205"/>
    <w:bookmarkStart w:id="206"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6"/>
    <w:bookmarkStart w:id="207" w:name="simulationen"/>
    <w:p>
      <w:pPr>
        <w:pStyle w:val="berschrift3"/>
      </w:pPr>
      <w:r>
        <w:t xml:space="preserve">Simulationen</w:t>
      </w:r>
    </w:p>
    <w:p>
      <w:pPr>
        <w:pStyle w:val="FirstParagraph"/>
      </w:pPr>
      <w:r>
        <w:t xml:space="preserve">Nachbildungen der realen Welt und ihrer physikalischen Eigenschaften.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7"/>
    <w:bookmarkStart w:id="208"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8"/>
    <w:bookmarkStart w:id="209" w:name="sozial-ökologische-transformation"/>
    <w:p>
      <w:pPr>
        <w:pStyle w:val="berschrift3"/>
      </w:pPr>
      <w:r>
        <w:t xml:space="preserve">Sozial-ökologische Transformation</w:t>
      </w:r>
    </w:p>
    <w:p>
      <w:pPr>
        <w:pStyle w:val="FirstParagraph"/>
      </w:pPr>
      <w:r>
        <w:t xml:space="preserve">Ein tiefgreifender struktureller Wandel hin zu einer ressourcenschonenden Lebensweise und einer nachhaltigen Entwicklung.</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09"/>
    <w:bookmarkStart w:id="210"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betroffenen Personen oder (organisiertierten)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10"/>
    <w:bookmarkStart w:id="211"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 Die Niederschlagsmenge übersteigt 15 bis 25 l/m2 in 1 Stunde oder 20 bis 35 l/m2 in 6 Stunden.</w:t>
      </w:r>
    </w:p>
    <w:p>
      <w:r>
        <w:pict>
          <v:rect style="width:0;height:1.5pt" o:hralign="center" o:hrstd="t" o:hr="t"/>
        </w:pict>
      </w:r>
    </w:p>
    <w:bookmarkEnd w:id="211"/>
    <w:bookmarkStart w:id="212"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2"/>
    <w:bookmarkStart w:id="213"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3"/>
    <w:bookmarkStart w:id="214" w:name="starkregenrisikokarte"/>
    <w:p>
      <w:pPr>
        <w:pStyle w:val="berschrift3"/>
      </w:pPr>
      <w:r>
        <w:t xml:space="preserve">Starkregenrisikokarte</w:t>
      </w:r>
    </w:p>
    <w:p>
      <w:pPr>
        <w:pStyle w:val="FirstParagraph"/>
      </w:pPr>
      <w:r>
        <w:t xml:space="preserve">Zeigt, wo Überschwemmungsschäden durch Starkregen entstehen können. Aufgezeigt werden die Gebiete, die von einer Starkregengefahr betroffen sind unter Berücksichtigung von zum Beispiel Einwohnerzahl, Schutzgebieten, Industrieanlagen und Kulturstätten.</w:t>
      </w:r>
    </w:p>
    <w:p>
      <w:r>
        <w:pict>
          <v:rect style="width:0;height:1.5pt" o:hralign="center" o:hrstd="t" o:hr="t"/>
        </w:pict>
      </w:r>
    </w:p>
    <w:bookmarkEnd w:id="214"/>
    <w:bookmarkStart w:id="215"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5"/>
    <w:bookmarkStart w:id="216"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6"/>
    <w:bookmarkStart w:id="217"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7"/>
    <w:bookmarkStart w:id="218" w:name="sustainable-development-goals"/>
    <w:p>
      <w:pPr>
        <w:pStyle w:val="berschrift3"/>
      </w:pPr>
      <w:r>
        <w:t xml:space="preserve">Sustainable Development Goals</w:t>
      </w:r>
    </w:p>
    <w:p>
      <w:pPr>
        <w:pStyle w:val="FirstParagraph"/>
      </w:pPr>
      <w:r>
        <w:rPr>
          <w:b/>
          <w:bCs/>
        </w:rPr>
        <w:t xml:space="preserve">(SDGs)</w:t>
      </w:r>
    </w:p>
    <w:p>
      <w:pPr>
        <w:pStyle w:val="BodyText"/>
      </w:pPr>
      <w:r>
        <w:t xml:space="preserve">Die Sustainable Development Goals (Ziele für nachhaltige Entwicklung) bestehen aus 17 ökonomischen, ökologischen und sozialen Zielen. Sie wurden 2015 in der Agenda 2030 von den Vereinten Nationen (United Nations) verabschiedet und dienen global als Agenda für eine nachhaltige Entwicklung.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sozial-ökologische-transformation">
        <w:r>
          <w:rPr>
            <w:rStyle w:val="Hyperlink"/>
          </w:rPr>
          <w:t xml:space="preserve">Sozial-ökologische Transformation</w:t>
        </w:r>
      </w:hyperlink>
      <w:r>
        <w:t xml:space="preserve">,</w:t>
      </w:r>
      <w:r>
        <w:t xml:space="preserve"> </w:t>
      </w:r>
      <w:hyperlink w:anchor="agenda-2030">
        <w:r>
          <w:rPr>
            <w:rStyle w:val="Hyperlink"/>
          </w:rPr>
          <w:t xml:space="preserve">Agenda 2030</w:t>
        </w:r>
      </w:hyperlink>
      <w:r>
        <w:t xml:space="preserve"> </w:t>
      </w:r>
    </w:p>
    <w:p>
      <w:r>
        <w:pict>
          <v:rect style="width:0;height:1.5pt" o:hralign="center" o:hrstd="t" o:hr="t"/>
        </w:pict>
      </w:r>
    </w:p>
    <w:bookmarkEnd w:id="218"/>
    <w:bookmarkStart w:id="219"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9"/>
    <w:bookmarkStart w:id="220"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0"/>
    <w:bookmarkStart w:id="221"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Sie lassen viel bis mäßige Versickerung von Oberflächenabflüssen zu.</w:t>
      </w:r>
    </w:p>
    <w:p>
      <w:r>
        <w:pict>
          <v:rect style="width:0;height:1.5pt" o:hralign="center" o:hrstd="t" o:hr="t"/>
        </w:pict>
      </w:r>
    </w:p>
    <w:bookmarkEnd w:id="221"/>
    <w:bookmarkStart w:id="222" w:name="thermische-ausgleichsfunktion"/>
    <w:p>
      <w:pPr>
        <w:pStyle w:val="berschrift3"/>
      </w:pPr>
      <w:r>
        <w:t xml:space="preserve">Thermische Ausgleichsfunktion</w:t>
      </w:r>
    </w:p>
    <w:p>
      <w:pPr>
        <w:pStyle w:val="FirstParagraph"/>
      </w:pPr>
      <w:r>
        <w:t xml:space="preserve">Beschreibt, wie sich Wärme in einem System über die Zeit verteilt und ausgleicht. Flächen mit thermischer Ausgleichsfunktion gleichen Temperaturunterschiede zwischen verschiedenen Gebieten aus. Im Kontext von Co-Site sind dies Grün- und Freiflächen, die vor allem nachts Kaltluft produzieren oder durch ihre spezielle Lage Kaltluftströme ermöglichen. Sie tragen zur Minderung der Hitzebelastung bei.</w:t>
      </w:r>
    </w:p>
    <w:p>
      <w:r>
        <w:pict>
          <v:rect style="width:0;height:1.5pt" o:hralign="center" o:hrstd="t" o:hr="t"/>
        </w:pict>
      </w:r>
    </w:p>
    <w:bookmarkEnd w:id="222"/>
    <w:bookmarkStart w:id="223" w:name="thermische-belastung"/>
    <w:p>
      <w:pPr>
        <w:pStyle w:val="berschrift3"/>
      </w:pPr>
      <w:r>
        <w:t xml:space="preserve">Thermische Belastung</w:t>
      </w:r>
    </w:p>
    <w:p>
      <w:pPr>
        <w:pStyle w:val="FirstParagraph"/>
      </w:pPr>
      <w:r>
        <w:t xml:space="preserve">Die durch Hitze oder Kälte hervorgerufene Belastung, die auch direkte Auswirkungen auf das körperliche Wohlbefinden (z.B. Hitzestress) haben kann. Sie wird von Lufttemperatur, Luftfeuchtigkeit, Windgeschwindigkeit und Sonnenstrahlung beeinflusst und mithilfe des PET-Wertes (Physiological Equivalent Temperature) bestimmt.</w:t>
      </w:r>
    </w:p>
    <w:p>
      <w:r>
        <w:pict>
          <v:rect style="width:0;height:1.5pt" o:hralign="center" o:hrstd="t" o:hr="t"/>
        </w:pict>
      </w:r>
    </w:p>
    <w:bookmarkEnd w:id="223"/>
    <w:bookmarkStart w:id="224"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Das transdisziplinäre Arbeiten zeichnet sich insbesondere durch die Verknüpfung unterschiedlicher Sichtweisen und Fachdisziplinen der jeweiligen Akteur:innen aus.</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24"/>
    <w:bookmarkStart w:id="225" w:name="transfer"/>
    <w:p>
      <w:pPr>
        <w:pStyle w:val="berschrift3"/>
      </w:pPr>
      <w:r>
        <w:t xml:space="preserve">Transfer</w:t>
      </w:r>
    </w:p>
    <w:p>
      <w:pPr>
        <w:pStyle w:val="FirstParagraph"/>
      </w:pPr>
      <w:r>
        <w:t xml:space="preserve">Austausch und Anwendung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5"/>
    <w:bookmarkStart w:id="226"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6"/>
    <w:bookmarkStart w:id="227" w:name="transfermodus-1"/>
    <w:p>
      <w:pPr>
        <w:pStyle w:val="berschrift3"/>
      </w:pPr>
      <w:r>
        <w:t xml:space="preserve">Transfermodus 1</w:t>
      </w:r>
    </w:p>
    <w:p>
      <w:pPr>
        <w:pStyle w:val="FirstParagraph"/>
      </w:pPr>
      <w:r>
        <w:t xml:space="preserve">Wissens- und Technologietransfer für die Gesellschaft,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8"/>
    <w:bookmarkStart w:id="229"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Transfermodus des Projekts Co-Site.</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9"/>
    <w:bookmarkStart w:id="230" w:name="transformation"/>
    <w:p>
      <w:pPr>
        <w:pStyle w:val="berschrift3"/>
      </w:pPr>
      <w:r>
        <w:t xml:space="preserve">Transformation</w:t>
      </w:r>
    </w:p>
    <w:p>
      <w:pPr>
        <w:pStyle w:val="FirstParagraph"/>
      </w:pPr>
      <w:r>
        <w:t xml:space="preserve">Eine grundlegende Veränderung eines Systems hin zu einem (gewünschten) Zielzustand</w:t>
      </w:r>
    </w:p>
    <w:p>
      <w:r>
        <w:pict>
          <v:rect style="width:0;height:1.5pt" o:hralign="center" o:hrstd="t" o:hr="t"/>
        </w:pict>
      </w:r>
    </w:p>
    <w:bookmarkEnd w:id="230"/>
    <w:bookmarkStart w:id="231" w:name="transformation-skills"/>
    <w:p>
      <w:pPr>
        <w:pStyle w:val="berschrift3"/>
      </w:pPr>
      <w:r>
        <w:t xml:space="preserve">Transformation Skills</w:t>
      </w:r>
    </w:p>
    <w:p>
      <w:pPr>
        <w:pStyle w:val="FirstParagraph"/>
      </w:pPr>
      <w:r>
        <w:t xml:space="preserve">Fähigkeit zum Verständnis, der Nutzung und Interpretation von Informationen über gesellschaftliche Transformationsprozesse,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1"/>
    <w:bookmarkStart w:id="232" w:name="transformationsnetzwerk"/>
    <w:p>
      <w:pPr>
        <w:pStyle w:val="berschrift3"/>
      </w:pPr>
      <w:r>
        <w:t xml:space="preserve">Transformationsnetzwerk</w:t>
      </w:r>
    </w:p>
    <w:p>
      <w:pPr>
        <w:pStyle w:val="FirstParagraph"/>
      </w:pPr>
      <w:r>
        <w:t xml:space="preserve">Im Transformationsnetzwerk wirken verschiedene regionale Vetreter:innen aus Kommunen und Kreisen,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2"/>
    <w:bookmarkStart w:id="233"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verändern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3"/>
    <w:bookmarkStart w:id="234"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r>
        <w:pict>
          <v:rect style="width:0;height:1.5pt" o:hralign="center" o:hrstd="t" o:hr="t"/>
        </w:pict>
      </w:r>
    </w:p>
    <w:bookmarkEnd w:id="234"/>
    <w:bookmarkStart w:id="235" w:name="transformatives-lernen"/>
    <w:p>
      <w:pPr>
        <w:pStyle w:val="berschrift3"/>
      </w:pPr>
      <w:r>
        <w:t xml:space="preserve">Transformatives Lernen</w:t>
      </w:r>
    </w:p>
    <w:p>
      <w:pPr>
        <w:pStyle w:val="FirstParagraph"/>
      </w:pPr>
      <w:r>
        <w:t xml:space="preserve">Transformatives Lernen bewirkt tiefgreifende Veränderungen im Denken und Verhalten. Es führt zu neuen Perspektiven und einem erweiterten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35"/>
    <w:bookmarkStart w:id="236"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6"/>
    <w:bookmarkStart w:id="237"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7"/>
    <w:bookmarkStart w:id="238" w:name="urbane-retentionsräume"/>
    <w:p>
      <w:pPr>
        <w:pStyle w:val="berschrift3"/>
      </w:pPr>
      <w:r>
        <w:t xml:space="preserve">Urbane Retentionsräume</w:t>
      </w:r>
    </w:p>
    <w:p>
      <w:pPr>
        <w:pStyle w:val="FirstParagraph"/>
      </w:pPr>
      <w:r>
        <w:t xml:space="preserve">Natürliche oder künstlich geschaffene Retentionsräume im Stadtgebiet, die bei Hochwasser und/oder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8"/>
    <w:bookmarkStart w:id="239"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9"/>
    <w:bookmarkStart w:id="240"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40"/>
    <w:bookmarkStart w:id="241"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41"/>
    <w:bookmarkStart w:id="242"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2"/>
    <w:bookmarkStart w:id="243" w:name="virtual-reality"/>
    <w:p>
      <w:pPr>
        <w:pStyle w:val="berschrift3"/>
      </w:pPr>
      <w:r>
        <w:t xml:space="preserve">Virtual Reality</w:t>
      </w:r>
    </w:p>
    <w:p>
      <w:pPr>
        <w:pStyle w:val="FirstParagraph"/>
      </w:pPr>
      <w:r>
        <w:rPr>
          <w:b/>
          <w:bCs/>
        </w:rPr>
        <w:t xml:space="preserve">(VR)</w:t>
      </w:r>
    </w:p>
    <w:p>
      <w:pPr>
        <w:pStyle w:val="BodyText"/>
      </w:pPr>
      <w:r>
        <w:t xml:space="preserve">Virtual Reality (dt. virtuelle Realität) beschreibt eine computergenerierte virtuelle Umgebung, die Nutzer:innen visuell und auditiv mittels VR-Brille erleben können und in der die reale Welt visuell nicht erfasst werden kann.</w:t>
      </w:r>
    </w:p>
    <w:p>
      <w:r>
        <w:pict>
          <v:rect style="width:0;height:1.5pt" o:hralign="center" o:hrstd="t" o:hr="t"/>
        </w:pict>
      </w:r>
    </w:p>
    <w:bookmarkEnd w:id="243"/>
    <w:bookmarkStart w:id="244"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4"/>
    <w:bookmarkStart w:id="245"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5"/>
    <w:bookmarkStart w:id="246" w:name="vr-brille"/>
    <w:p>
      <w:pPr>
        <w:pStyle w:val="berschrift3"/>
      </w:pPr>
      <w:r>
        <w:t xml:space="preserve">VR-Brille</w:t>
      </w:r>
    </w:p>
    <w:p>
      <w:pPr>
        <w:pStyle w:val="FirstParagraph"/>
      </w:pPr>
      <w:r>
        <w:t xml:space="preserve">Eine Virtual-Reality-Brille ist ein tragbares Gerät (Head-Mounted Display), welches wie eine Brille oder ein Helm getragen wird und die Person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6"/>
    <w:bookmarkStart w:id="247"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virtuelen Welt zu bewegen, ohne physisch den Ort zu wechseln, und erhöht so die Immersion und Interaktivität.</w:t>
      </w:r>
    </w:p>
    <w:p>
      <w:r>
        <w:pict>
          <v:rect style="width:0;height:1.5pt" o:hralign="center" o:hrstd="t" o:hr="t"/>
        </w:pict>
      </w:r>
    </w:p>
    <w:bookmarkEnd w:id="247"/>
    <w:bookmarkStart w:id="248"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8"/>
    <w:bookmarkStart w:id="249"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beispielsweise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9"/>
    <w:bookmarkStart w:id="250"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50"/>
    <w:bookmarkStart w:id="251"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51"/>
    <w:bookmarkStart w:id="252"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2"/>
    <w:bookmarkStart w:id="253"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3"/>
    <w:bookmarkStart w:id="254"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4"/>
    <w:bookmarkStart w:id="255"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5"/>
    <w:bookmarkStart w:id="256"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6"/>
    <w:bookmarkStart w:id="257"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7"/>
    <w:bookmarkStart w:id="258"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 a. gerne genutzt, um zu verdeutlichen, dass Wirkung nicht wirklich messbar ist.</w:t>
      </w:r>
    </w:p>
    <w:p>
      <w:r>
        <w:pict>
          <v:rect style="width:0;height:1.5pt" o:hralign="center" o:hrstd="t" o:hr="t"/>
        </w:pict>
      </w:r>
    </w:p>
    <w:bookmarkEnd w:id="258"/>
    <w:bookmarkStart w:id="259"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9"/>
    <w:bookmarkStart w:id="260"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60"/>
    <w:bookmarkStart w:id="261"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partizipativen Austausch. Im Kontext von Reallaborarbeit bedeutet dies u. a. die Verknüpfung von vorhandenem Wissen verschiedener relevanter Stakeholder und die dadurch erzeugte ganzheitliche Erweiterung, Ergänzung und Entwicklung neuen Wissens.</w:t>
      </w:r>
    </w:p>
    <w:p>
      <w:r>
        <w:pict>
          <v:rect style="width:0;height:1.5pt" o:hralign="center" o:hrstd="t" o:hr="t"/>
        </w:pict>
      </w:r>
    </w:p>
    <w:bookmarkEnd w:id="261"/>
    <w:bookmarkStart w:id="262" w:name="wissenstransfer"/>
    <w:p>
      <w:pPr>
        <w:pStyle w:val="berschrift3"/>
      </w:pPr>
      <w:r>
        <w:t xml:space="preserve">Wissenstransfer</w:t>
      </w:r>
    </w:p>
    <w:p>
      <w:pPr>
        <w:pStyle w:val="FirstParagraph"/>
      </w:pPr>
      <w:r>
        <w:t xml:space="preserve">Austausch von Wissen zwischen Personen oder Institutionen, z. B. in der Gesellschaft, Politik, Wirtschaft oder Wissenschaft</w:t>
      </w:r>
    </w:p>
    <w:p>
      <w:r>
        <w:pict>
          <v:rect style="width:0;height:1.5pt" o:hralign="center" o:hrstd="t" o:hr="t"/>
        </w:pict>
      </w:r>
    </w:p>
    <w:bookmarkEnd w:id="262"/>
    <w:bookmarkStart w:id="263"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3"/>
    <w:bookmarkStart w:id="264"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4"/>
    <w:bookmarkStart w:id="265"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5"/>
    <w:bookmarkStart w:id="266"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6"/>
    <w:bookmarkStart w:id="267"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vision">
        <w:r>
          <w:rPr>
            <w:rStyle w:val="Hyperlink"/>
          </w:rPr>
          <w:t xml:space="preserve">Vision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67"/>
    <w:bookmarkStart w:id="268"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8"/>
    <w:bookmarkEnd w:id="269"/>
    <w:bookmarkStart w:id="296" w:name="co-site-tags"/>
    <w:p>
      <w:pPr>
        <w:pStyle w:val="berschrift1"/>
      </w:pPr>
      <w:r>
        <w:t xml:space="preserve">Co-Site Tags</w:t>
      </w:r>
    </w:p>
    <w:p>
      <w:pPr>
        <w:pStyle w:val="SourceCode"/>
      </w:pPr>
      <w:r>
        <w:rPr>
          <w:rStyle w:val="VerbatimChar"/>
        </w:rPr>
        <w:t xml:space="preserve">"print('''\n\n```{=latex}\n      \\setlength{\\parskip}{\\baselineskip}\n```\n''')"</w:t>
      </w:r>
    </w:p>
    <w:p>
      <w:pPr>
        <w:pStyle w:val="FirstParagraph"/>
      </w:pPr>
    </w:p>
    <w:bookmarkStart w:id="270"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Räumliche Auflösung</w:t>
      </w:r>
    </w:p>
    <w:p>
      <w:pPr>
        <w:pStyle w:val="BodyText"/>
      </w:pPr>
      <w:r>
        <w:t xml:space="preserve">Zeitliche Auflösung</w:t>
      </w:r>
    </w:p>
    <w:p>
      <w:pPr>
        <w:pStyle w:val="BodyText"/>
      </w:pPr>
      <w:r>
        <w:t xml:space="preserve">Zeitreihe</w:t>
      </w:r>
    </w:p>
    <w:bookmarkEnd w:id="270"/>
    <w:bookmarkStart w:id="271"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Serious Games</w:t>
      </w:r>
    </w:p>
    <w:p>
      <w:pPr>
        <w:pStyle w:val="BodyText"/>
      </w:pPr>
      <w:r>
        <w:t xml:space="preserve">Urbaner Digitaler Zwilling</w:t>
      </w:r>
    </w:p>
    <w:bookmarkEnd w:id="271"/>
    <w:bookmarkStart w:id="272"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Extensive Dachbegrünung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Intensive Dachbegrünung</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Permeable Oberflächen</w:t>
      </w:r>
    </w:p>
    <w:p>
      <w:pPr>
        <w:pStyle w:val="BodyText"/>
      </w:pPr>
      <w:r>
        <w:t xml:space="preserve">Pluviales Hochwasser</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2"/>
    <w:bookmarkStart w:id="273"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3"/>
    <w:bookmarkStart w:id="274" w:name="geoinformationssystem-1"/>
    <w:p>
      <w:pPr>
        <w:pStyle w:val="berschrift3"/>
      </w:pPr>
      <w:r>
        <w:t xml:space="preserve">Geoinformationssystem</w:t>
      </w:r>
    </w:p>
    <w:p>
      <w:pPr>
        <w:pStyle w:val="FirstParagraph"/>
      </w:pPr>
      <w:r>
        <w:t xml:space="preserve">Georeferenzierung</w:t>
      </w:r>
    </w:p>
    <w:p>
      <w:pPr>
        <w:pStyle w:val="BodyText"/>
      </w:pPr>
      <w:r>
        <w:t xml:space="preserve">Metadaten</w:t>
      </w:r>
    </w:p>
    <w:bookmarkEnd w:id="274"/>
    <w:bookmarkStart w:id="275" w:name="geonode-1"/>
    <w:p>
      <w:pPr>
        <w:pStyle w:val="berschrift3"/>
      </w:pPr>
      <w:r>
        <w:t xml:space="preserve">GeoNode</w:t>
      </w:r>
    </w:p>
    <w:p>
      <w:pPr>
        <w:pStyle w:val="FirstParagraph"/>
      </w:pPr>
      <w:r>
        <w:t xml:space="preserve">InfoTool</w:t>
      </w:r>
    </w:p>
    <w:bookmarkEnd w:id="275"/>
    <w:bookmarkStart w:id="276" w:name="gis"/>
    <w:p>
      <w:pPr>
        <w:pStyle w:val="berschrift3"/>
      </w:pPr>
      <w:r>
        <w:t xml:space="preserve">GIS</w:t>
      </w:r>
    </w:p>
    <w:p>
      <w:pPr>
        <w:pStyle w:val="FirstParagraph"/>
      </w:pPr>
      <w:r>
        <w:t xml:space="preserve">Koordinatensystem</w:t>
      </w:r>
    </w:p>
    <w:p>
      <w:pPr>
        <w:pStyle w:val="BodyText"/>
      </w:pPr>
      <w:r>
        <w:t xml:space="preserve">Rasterdaten</w:t>
      </w:r>
    </w:p>
    <w:bookmarkEnd w:id="276"/>
    <w:bookmarkStart w:id="277" w:name="hitzeinsel"/>
    <w:p>
      <w:pPr>
        <w:pStyle w:val="berschrift3"/>
      </w:pPr>
      <w:r>
        <w:t xml:space="preserve">Hitzeinsel</w:t>
      </w:r>
    </w:p>
    <w:p>
      <w:pPr>
        <w:pStyle w:val="FirstParagraph"/>
      </w:pPr>
      <w:r>
        <w:t xml:space="preserve">Mikroklima</w:t>
      </w:r>
    </w:p>
    <w:bookmarkEnd w:id="277"/>
    <w:bookmarkStart w:id="278"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8"/>
    <w:bookmarkStart w:id="279"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Geokodierung</w:t>
      </w:r>
    </w:p>
    <w:p>
      <w:pPr>
        <w:pStyle w:val="BodyText"/>
      </w:pPr>
      <w:r>
        <w:t xml:space="preserve">Open Geospatial Consortium</w:t>
      </w:r>
    </w:p>
    <w:p>
      <w:pPr>
        <w:pStyle w:val="BodyText"/>
      </w:pPr>
      <w:r>
        <w:t xml:space="preserve">Räumliche Analyse</w:t>
      </w:r>
    </w:p>
    <w:p>
      <w:pPr>
        <w:pStyle w:val="BodyText"/>
      </w:pPr>
      <w:r>
        <w:t xml:space="preserve">Vektordaten</w:t>
      </w:r>
    </w:p>
    <w:p>
      <w:pPr>
        <w:pStyle w:val="BodyText"/>
      </w:pPr>
      <w:r>
        <w:t xml:space="preserve">Web Feature Service</w:t>
      </w:r>
    </w:p>
    <w:p>
      <w:pPr>
        <w:pStyle w:val="BodyText"/>
      </w:pPr>
      <w:r>
        <w:t xml:space="preserve">Web Map Service</w:t>
      </w:r>
    </w:p>
    <w:bookmarkEnd w:id="279"/>
    <w:bookmarkStart w:id="280"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80"/>
    <w:bookmarkStart w:id="281"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81"/>
    <w:bookmarkStart w:id="282" w:name="kritis"/>
    <w:p>
      <w:pPr>
        <w:pStyle w:val="berschrift3"/>
      </w:pPr>
      <w:r>
        <w:t xml:space="preserve">KRITIS</w:t>
      </w:r>
    </w:p>
    <w:p>
      <w:pPr>
        <w:pStyle w:val="FirstParagraph"/>
      </w:pPr>
      <w:r>
        <w:t xml:space="preserve">Blackout</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82"/>
    <w:bookmarkStart w:id="283" w:name="naturgefahr-1"/>
    <w:p>
      <w:pPr>
        <w:pStyle w:val="berschrift3"/>
      </w:pPr>
      <w:r>
        <w:t xml:space="preserve">Naturgefahr</w:t>
      </w:r>
    </w:p>
    <w:p>
      <w:pPr>
        <w:pStyle w:val="FirstParagraph"/>
      </w:pPr>
      <w:r>
        <w:t xml:space="preserve">Exposition</w:t>
      </w:r>
    </w:p>
    <w:p>
      <w:pPr>
        <w:pStyle w:val="BodyText"/>
      </w:pPr>
      <w:r>
        <w:t xml:space="preserve">Starkregenindex</w:t>
      </w:r>
    </w:p>
    <w:bookmarkEnd w:id="283"/>
    <w:bookmarkStart w:id="284"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4"/>
    <w:bookmarkStart w:id="285"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5"/>
    <w:bookmarkStart w:id="286"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6"/>
    <w:bookmarkStart w:id="287"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7"/>
    <w:bookmarkStart w:id="288"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Bewältigungskapazität</w:t>
      </w:r>
    </w:p>
    <w:p>
      <w:pPr>
        <w:pStyle w:val="BodyText"/>
      </w:pPr>
      <w:r>
        <w:t xml:space="preserve">Gefahrenabwehr</w:t>
      </w:r>
    </w:p>
    <w:p>
      <w:pPr>
        <w:pStyle w:val="BodyText"/>
      </w:pPr>
      <w:r>
        <w:t xml:space="preserve">Hochwasserrisikokarte</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8"/>
    <w:bookmarkStart w:id="289"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9"/>
    <w:bookmarkStart w:id="290"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Deutsche Nachhaltigkeitsstrategie</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Sozial-ökologische Transformation</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90"/>
    <w:bookmarkStart w:id="291" w:name="urbaner-retentionsraum"/>
    <w:p>
      <w:pPr>
        <w:pStyle w:val="berschrift3"/>
      </w:pPr>
      <w:r>
        <w:t xml:space="preserve">urbaner Retentionsraum</w:t>
      </w:r>
    </w:p>
    <w:p>
      <w:pPr>
        <w:pStyle w:val="FirstParagraph"/>
      </w:pPr>
      <w:r>
        <w:t xml:space="preserve">Rückhaltevolumen</w:t>
      </w:r>
    </w:p>
    <w:bookmarkEnd w:id="291"/>
    <w:bookmarkStart w:id="292"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92"/>
    <w:bookmarkStart w:id="293"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93"/>
    <w:bookmarkStart w:id="294"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4"/>
    <w:bookmarkStart w:id="295"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5"/>
    <w:bookmarkEnd w:id="296"/>
    <w:bookmarkStart w:id="303" w:name="impressum"/>
    <w:p>
      <w:pPr>
        <w:pStyle w:val="berschrift1"/>
      </w:pPr>
      <w:r>
        <w:t xml:space="preserve">Impressum</w:t>
      </w:r>
    </w:p>
    <w:bookmarkStart w:id="302"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7">
        <w:r>
          <w:rPr>
            <w:rStyle w:val="Hyperlink"/>
          </w:rPr>
          <w:t xml:space="preserve">https://creativecommons.org/licenses/by-sa/4.0/</w:t>
        </w:r>
      </w:hyperlink>
    </w:p>
    <w:p>
      <w:pPr>
        <w:pStyle w:val="BodyText"/>
      </w:pPr>
      <w:r>
        <w:t xml:space="preserve">Code - © 2024 Die Autor:innen. MIT-Lizenz</w:t>
      </w:r>
      <w:r>
        <w:t xml:space="preserve"> </w:t>
      </w:r>
      <w:hyperlink r:id="rId298">
        <w:r>
          <w:rPr>
            <w:rStyle w:val="Hyperlink"/>
          </w:rPr>
          <w:t xml:space="preserve">https://github.com/TIBHannover/semantic-glosar/blob/master/LICENSE</w:t>
        </w:r>
      </w:hyperlink>
      <w:r>
        <w:t xml:space="preserve"> </w:t>
      </w:r>
      <w:r>
        <w:t xml:space="preserve">| Quelle</w:t>
      </w:r>
      <w:r>
        <w:t xml:space="preserve"> </w:t>
      </w:r>
      <w:hyperlink r:id="rId299">
        <w:r>
          <w:rPr>
            <w:rStyle w:val="Hyperlink"/>
          </w:rPr>
          <w:t xml:space="preserve">https://github.com/TIBHannover/co-site-glossar</w:t>
        </w:r>
      </w:hyperlink>
    </w:p>
    <w:p>
      <w:pPr>
        <w:pStyle w:val="BodyText"/>
      </w:pPr>
      <w:r>
        <w:t xml:space="preserve">Daten - Alle produzierten Daten und Datensätze sind</w:t>
      </w:r>
      <w:r>
        <w:t xml:space="preserve"> </w:t>
      </w:r>
      <w:hyperlink r:id="rId300">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301">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302"/>
    <w:bookmarkEnd w:id="303"/>
    <w:bookmarkStart w:id="315" w:name="mitwirkende"/>
    <w:p>
      <w:pPr>
        <w:pStyle w:val="berschrift1"/>
      </w:pPr>
      <w:r>
        <w:t xml:space="preserve">Mitwirkende</w:t>
      </w:r>
    </w:p>
    <w:bookmarkStart w:id="313"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4">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5">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6">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7">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8">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9">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10">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11">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12">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13"/>
    <w:bookmarkStart w:id="314"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9">
        <w:r>
          <w:rPr>
            <w:rStyle w:val="Hyperlink"/>
          </w:rPr>
          <w:t xml:space="preserve">https://github.com/TIBHannover/co-site-glossar</w:t>
        </w:r>
      </w:hyperlink>
    </w:p>
    <w:bookmarkEnd w:id="314"/>
    <w:bookmarkEnd w:id="315"/>
    <w:bookmarkStart w:id="321" w:name="literatur"/>
    <w:p>
      <w:pPr>
        <w:pStyle w:val="berschrift1"/>
      </w:pPr>
      <w:r>
        <w:t xml:space="preserve">Literatur</w:t>
      </w:r>
    </w:p>
    <w:bookmarkStart w:id="317" w:name="verwaltung-von-referenzen"/>
    <w:p>
      <w:pPr>
        <w:pStyle w:val="berschrift2"/>
      </w:pPr>
      <w:r>
        <w:t xml:space="preserve">Verwaltung von Referenzen</w:t>
      </w:r>
    </w:p>
    <w:p>
      <w:pPr>
        <w:pStyle w:val="FirstParagraph"/>
      </w:pPr>
      <w:r>
        <w:t xml:space="preserve">Zotero Group:</w:t>
      </w:r>
      <w:r>
        <w:t xml:space="preserve"> </w:t>
      </w:r>
      <w:hyperlink r:id="rId316">
        <w:r>
          <w:rPr>
            <w:rStyle w:val="Hyperlink"/>
          </w:rPr>
          <w:t xml:space="preserve">https://www.zotero.org/groups/5631396/co-site_book_sprints/library</w:t>
        </w:r>
      </w:hyperlink>
    </w:p>
    <w:bookmarkEnd w:id="317"/>
    <w:bookmarkStart w:id="318"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 https://doi.org/10.35468/wbeb2022-109.</w:t>
      </w:r>
    </w:p>
    <w:p>
      <w:pPr>
        <w:pStyle w:val="BodyText"/>
      </w:pPr>
      <w:r>
        <w:t xml:space="preserve">———. 2023b. „Qualifikation – Digitales Wörterbuch Erwachsenen- und Weiterbildung“. In . https://doi.org/10.35468/wbeb2022-237.</w:t>
      </w:r>
    </w:p>
    <w:p>
      <w:pPr>
        <w:pStyle w:val="BodyText"/>
      </w:pPr>
      <w:r>
        <w:t xml:space="preserve">BBK. o. J. „Sektoren und Branchen KRITIS“. Zugegriffen 21. August 2024. https://www.bbk.bund.de/DE/Themen/Kritische-Infrastrukturen/Sektoren-Branchen/sektoren-branchen_node.html.</w:t>
      </w:r>
    </w:p>
    <w:p>
      <w:pPr>
        <w:pStyle w:val="BodyText"/>
      </w:pPr>
      <w:r>
        <w:t xml:space="preserve">BMI, Referat SW I 1 - Stadtentwicklungspolitik, und Oliver Weigel. 2021. „Memorandum ‚Urbane Resilienz - Wege zur robusten, adaptiven und zukunftsfähigen Stadt‘“. Bundesministerium des Innern, für Bau und Heimat. https://www.nationale-stadtentwicklungspolitik.de/NSPWeb/SharedDocs/Publikationen/DE/Publikationen/memorandum_urbane_resilienz.pdf.</w:t>
      </w:r>
    </w:p>
    <w:p>
      <w:pPr>
        <w:pStyle w:val="BodyText"/>
      </w:pPr>
      <w:r>
        <w:t xml:space="preserve">Bundesamt für Bevölkerungsschutz und Katastrophenhilfe. o. J. Glossar des Bundesamts für Bevölkerungsschutz und Katastrophenhilfe. Bundesamt für Bevölkerungsschutz und Katastrophenhilfe. Zugegriffen 20. August 2024. https://www.bbk.bund.de/DE/Infothek/Glossar/glossar_node.html.</w:t>
      </w:r>
    </w:p>
    <w:p>
      <w:pPr>
        <w:pStyle w:val="BodyText"/>
      </w:pPr>
      <w:r>
        <w:t xml:space="preserve">Bundesamt für Sicherheit in der Informationstechnik. 2024. „Flyer UP KRITIS“. https://www.bsi.bund.de/SharedDocs/Downloads/DE/BSI/KRITIS/UPK/upk-flyer.html.</w:t>
      </w:r>
    </w:p>
    <w:p>
      <w:pPr>
        <w:pStyle w:val="BodyText"/>
      </w:pPr>
      <w:r>
        <w:t xml:space="preserve">CIPRNet. o. J. „CIPedia“. Zugegriffen 21. August 2024. https://websites.fraunhofer.de/CIPedia/index.php/CIPedia%C2%A9_Main_Page.</w:t>
      </w:r>
    </w:p>
    <w:p>
      <w:pPr>
        <w:pStyle w:val="BodyText"/>
      </w:pPr>
      <w:r>
        <w:t xml:space="preserve">Dobischat, Rolf. 2023. „Berufliche Weiterbildung – Digitales Wörterbuch Erwachsenen- und Weiterbildung“. In . https://doi.org/10.35468/wbeb2022-028.</w:t>
      </w:r>
    </w:p>
    <w:p>
      <w:pPr>
        <w:pStyle w:val="BodyText"/>
      </w:pPr>
      <w:r>
        <w:t xml:space="preserve">IPCC. o. J. „IPCC Glossary“. Zugegriffen 21. August 2024. https://apps.ipcc.ch/glossary/.</w:t>
      </w:r>
    </w:p>
    <w:p>
      <w:pPr>
        <w:pStyle w:val="BodyText"/>
      </w:pPr>
      <w:r>
        <w:t xml:space="preserve">Käpplinger, Bernd. 2023. „Betriebliche Weiterbildung – Digitales Wörterbuch Erwachsenen- und Weiterbildung“. In . https://doi.org/10.35468/wbeb2022-030.</w:t>
      </w:r>
    </w:p>
    <w:p>
      <w:pPr>
        <w:pStyle w:val="BodyText"/>
      </w:pPr>
      <w:r>
        <w:t xml:space="preserve">NIST. 2019. „Glossary of Key Information Security Terms“. 2019. https://csrc.nist.gov/glossary.</w:t>
      </w:r>
    </w:p>
    <w:p>
      <w:pPr>
        <w:pStyle w:val="BodyText"/>
      </w:pPr>
      <w:r>
        <w:t xml:space="preserve">Rinaldi, S.M., J.P. Peerenboom, und T.K. Kelly. 2001. „Identifying, understanding, and analyzing critical infrastructure interdependencies“. IEEE Control Systems Magazine 21 (6): 11–25. https://doi.org/10.1109/37.969131.</w:t>
      </w:r>
    </w:p>
    <w:p>
      <w:pPr>
        <w:pStyle w:val="BodyText"/>
      </w:pPr>
      <w:r>
        <w:t xml:space="preserve">Rohs, Matthias. 2023. „Wissenschaftliche Weiterbildung – Digitales Wörterbuch Erwachsenen- und Weiterbildung“. In . https://doi.org/10.35468/wbeb2022-299.</w:t>
      </w:r>
    </w:p>
    <w:p>
      <w:pPr>
        <w:pStyle w:val="BodyText"/>
      </w:pPr>
      <w:r>
        <w:t xml:space="preserve">UNDRR. 2023. „Sendai Framework Terminology on Disaster Risk Reduction“. 9. März 2023. http://www.undrr.org/drr-glossary/terminology.</w:t>
      </w:r>
    </w:p>
    <w:p>
      <w:pPr>
        <w:pStyle w:val="BodyText"/>
      </w:pPr>
      <w:r>
        <w:t xml:space="preserve">„Anpassung an den Klimawandel_- Vulnerabilität, Auswirkungen und Risikobewertung“. 2021. DIN Media GmbH. https://doi.org/10.31030/3215272.</w:t>
      </w:r>
    </w:p>
    <w:p>
      <w:pPr>
        <w:pStyle w:val="BodyText"/>
      </w:pPr>
      <w:r>
        <w:t xml:space="preserve">Zivilschutz- und Katastrophenhilfegesetz (ZSKG). 1997. https://www.gesetze-im-internet.de/zsg/.</w:t>
      </w:r>
    </w:p>
    <w:bookmarkEnd w:id="318"/>
    <w:bookmarkStart w:id="319" w:name="grüne-infrastruktur-1"/>
    <w:p>
      <w:pPr>
        <w:pStyle w:val="berschrift2"/>
      </w:pPr>
      <w:r>
        <w:t xml:space="preserve">Grüne Infrastruktur</w:t>
      </w:r>
    </w:p>
    <w:p>
      <w:pPr>
        <w:pStyle w:val="FirstParagraph"/>
      </w:pPr>
      <w:r>
        <w:t xml:space="preserve">Deutscher Wetterdienst. o. J. „Klimawirkung - Deutscher Wetterdienst“. Zugegriffen 21. August 2024. https://www.dwd.de/DE/forschung/klima_umwelt/klimawirk/klimawirk_node.html.</w:t>
      </w:r>
    </w:p>
    <w:p>
      <w:pPr>
        <w:pStyle w:val="BodyText"/>
      </w:pPr>
      <w:r>
        <w:t xml:space="preserve">Naturkapital Deutschland. o. J. „Glossar - Naturkapital Deutschland - TEEB DE“. Zugegriffen 21. August 2024. https://www.ufz.de/teebde/index.php?de=43784.</w:t>
      </w:r>
    </w:p>
    <w:bookmarkEnd w:id="319"/>
    <w:bookmarkStart w:id="320" w:name="vuca-1"/>
    <w:p>
      <w:pPr>
        <w:pStyle w:val="berschrift2"/>
      </w:pPr>
      <w:r>
        <w:t xml:space="preserve">VUCA</w:t>
      </w:r>
    </w:p>
    <w:p>
      <w:pPr>
        <w:pStyle w:val="FirstParagraph"/>
      </w:pPr>
      <w:r>
        <w:t xml:space="preserve">Bendel, Prof Dr Oliver. 2024. „Definition: VUCA“. Text. https://wirtschaftslexikon.gabler.de/definition/vuca-119684. Springer Fachmedien Wiesbaden GmbH. August 2024. https://wirtschaftslexikon.gabler.de/definition/vuca-119684.</w:t>
      </w:r>
    </w:p>
    <w:bookmarkEnd w:id="320"/>
    <w:bookmarkEnd w:id="321"/>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22" Target="https://projects.tib.eu/nextgen-books/" TargetMode="External" /><Relationship Type="http://schemas.openxmlformats.org/officeDocument/2006/relationships/hyperlink" Id="rId323" Target="https://projects.tib.eu/nextgen-books/datenschutz/" TargetMode="External" /><Relationship Type="http://schemas.openxmlformats.org/officeDocument/2006/relationships/hyperlink" Id="rId324" Target="https://projects.tib.eu/nextgen-books/impressum/" TargetMode="External" /><Relationship Type="http://schemas.openxmlformats.org/officeDocument/2006/relationships/hyperlink" Id="rId301"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10" Target="http://0009-0002-5293-561X" TargetMode="External" /><Relationship Type="http://schemas.openxmlformats.org/officeDocument/2006/relationships/hyperlink" Id="rId297" Target="https://creativecommons.org/licenses/by-sa/4.0/" TargetMode="External" /><Relationship Type="http://schemas.openxmlformats.org/officeDocument/2006/relationships/hyperlink" Id="rId300" Target="https://creativecommons.org/publicdomain/zero/1.0/" TargetMode="External" /><Relationship Type="http://schemas.openxmlformats.org/officeDocument/2006/relationships/hyperlink" Id="rId299" Target="https://github.com/TIBHannover/co-site-glossar" TargetMode="External" /><Relationship Type="http://schemas.openxmlformats.org/officeDocument/2006/relationships/hyperlink" Id="rId298" Target="https://github.com/TIBHannover/co-site-glossar/blob/master/LICENSE" TargetMode="External" /><Relationship Type="http://schemas.openxmlformats.org/officeDocument/2006/relationships/hyperlink" Id="rId311" Target="https://orcid.org/0000-0001-8827-9461" TargetMode="External" /><Relationship Type="http://schemas.openxmlformats.org/officeDocument/2006/relationships/hyperlink" Id="rId306" Target="https://orcid.org/0000-0003-0232-7085" TargetMode="External" /><Relationship Type="http://schemas.openxmlformats.org/officeDocument/2006/relationships/hyperlink" Id="rId305" Target="https://orcid.org/0000-0003-3407-166X" TargetMode="External" /><Relationship Type="http://schemas.openxmlformats.org/officeDocument/2006/relationships/hyperlink" Id="rId312" Target="https://orcid.org/0009-0000-9016-4831" TargetMode="External" /><Relationship Type="http://schemas.openxmlformats.org/officeDocument/2006/relationships/hyperlink" Id="rId304" Target="https://orcid.org/0009-0002-9390-1336" TargetMode="External" /><Relationship Type="http://schemas.openxmlformats.org/officeDocument/2006/relationships/hyperlink" Id="rId307" Target="https://orcid.org/0009-0004-3451-0962" TargetMode="External" /><Relationship Type="http://schemas.openxmlformats.org/officeDocument/2006/relationships/hyperlink" Id="rId308" Target="https://orcid.org/0009-0007-8663-1856" TargetMode="External" /><Relationship Type="http://schemas.openxmlformats.org/officeDocument/2006/relationships/hyperlink" Id="rId309" Target="https://orcid.org/0009-0009-2260-8301" TargetMode="External" /><Relationship Type="http://schemas.openxmlformats.org/officeDocument/2006/relationships/hyperlink" Id="rId322" Target="https://projects.tib.eu/nextgen-books/" TargetMode="External" /><Relationship Type="http://schemas.openxmlformats.org/officeDocument/2006/relationships/hyperlink" Id="rId323" Target="https://projects.tib.eu/nextgen-books/datenschutz/" TargetMode="External" /><Relationship Type="http://schemas.openxmlformats.org/officeDocument/2006/relationships/hyperlink" Id="rId324" Target="https://projects.tib.eu/nextgen-books/impressum/" TargetMode="External" /><Relationship Type="http://schemas.openxmlformats.org/officeDocument/2006/relationships/hyperlink" Id="rId301"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16"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2024-12-17T14:41:07Z</dcterms:created>
  <dcterms:modified xsi:type="dcterms:W3CDTF">2024-12-17T14:41:07Z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17. Dezember 2024, 15:40:31</vt:lpwstr>
  </property>
  <property fmtid="{D5CDD505-2E9C-101B-9397-08002B2CF9AE}" pid="8" name="date-format">
    <vt:lpwstr>DD. MMMM YYYY, HH:mm:ss</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(Co-Site)</vt:lpwstr>
  </property>
  <property fmtid="{D5CDD505-2E9C-101B-9397-08002B2CF9AE}" pid="14" name="template-partials">
    <vt:lpwstr/>
  </property>
  <property fmtid="{D5CDD505-2E9C-101B-9397-08002B2CF9AE}" pid="15" name="toc-title">
    <vt:lpwstr>Table of contents</vt:lpwstr>
  </property>
</Properties>
</file>