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/>
      </w:pPr>
      <w:r>
        <w:rPr>
          <w:rFonts w:ascii="Arial" w:hAnsi="Arial" w:eastAsia="Arial"/>
          <w:color w:val="000000"/>
          <w:sz w:val="52"/>
          <w:szCs w:val="52"/>
        </w:rPr>
        <w:t>Diable Blacksite: Black Hole and Burned-System Visual Guide</w:t>
      </w:r>
    </w:p>
    <w:p>
      <w:pPr>
        <w:spacing w:before="0" w:after="240"/>
      </w:pPr>
      <w:r>
        <w:rPr>
          <w:rFonts w:ascii="Arial" w:hAnsi="Arial" w:eastAsia="Arial"/>
          <w:color w:val="555555"/>
          <w:sz w:val="24"/>
          <w:szCs w:val="24"/>
        </w:rPr>
        <w:t>Collaborator quick guide - implementation, visual layers, and maintenance notes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Core approach</w:t>
      </w:r>
    </w:p>
    <w:p>
      <w:r>
        <w:rPr>
          <w:rFonts w:ascii="Arial" w:hAnsi="Arial" w:eastAsia="Arial"/>
          <w:color w:val="000000"/>
          <w:sz w:val="22"/>
          <w:szCs w:val="22"/>
        </w:rPr>
        <w:t>The Blacksite still uses Starsector's vanilla black-hole type and textures. The star is recolored only for this system at runtime, while the larger burned-system appearance is assembled from separate campaign layers. No global black-hole definition is modified.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Black-hole entity: </w:t>
      </w:r>
      <w:r>
        <w:rPr>
          <w:rFonts w:ascii="Arial" w:hAnsi="Arial" w:eastAsia="Arial"/>
          <w:color w:val="000000"/>
          <w:sz w:val="22"/>
          <w:szCs w:val="22"/>
        </w:rPr>
        <w:t>vanilla StarTypes.BLACK_HOLE, recolored through its PlanetSpecAPI.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Hazard layer: </w:t>
      </w:r>
      <w:r>
        <w:rPr>
          <w:rFonts w:ascii="Arial" w:hAnsi="Arial" w:eastAsia="Arial"/>
          <w:color w:val="000000"/>
          <w:sz w:val="22"/>
          <w:szCs w:val="22"/>
        </w:rPr>
        <w:t>a rebuilt EventHorizonPlugin terrain region.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Accretion flow: </w:t>
      </w:r>
      <w:r>
        <w:rPr>
          <w:rFonts w:ascii="Arial" w:hAnsi="Arial" w:eastAsia="Arial"/>
          <w:color w:val="000000"/>
          <w:sz w:val="22"/>
          <w:szCs w:val="22"/>
        </w:rPr>
        <w:t>five visual RingBandAPI entities using vanilla ring textures.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System treatment: </w:t>
      </w:r>
      <w:r>
        <w:rPr>
          <w:rFonts w:ascii="Arial" w:hAnsi="Arial" w:eastAsia="Arial"/>
          <w:color w:val="000000"/>
          <w:sz w:val="22"/>
          <w:szCs w:val="22"/>
        </w:rPr>
        <w:t>custom background, red ambient lighting, an ember-colored planetary field, and vitrified wreckage.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1. Vanilla black hole, instance-specific recoloring</w:t>
      </w:r>
    </w:p>
    <w:p>
      <w:r>
        <w:rPr>
          <w:rFonts w:ascii="Arial" w:hAnsi="Arial" w:eastAsia="Arial"/>
          <w:color w:val="000000"/>
          <w:sz w:val="22"/>
          <w:szCs w:val="22"/>
        </w:rPr>
        <w:t>The star is created as a normal vanilla black hole. Its campaign radius is 500 and the initial corona-radius argument is 450.</w:t>
      </w:r>
    </w:p>
    <w:p>
      <w:pPr>
        <w:pStyle w:val="CodeBlock"/>
      </w:pPr>
      <w:r>
        <w:rPr>
          <w:rFonts w:ascii="Courier New" w:hAnsi="Courier New" w:eastAsia="Courier New"/>
          <w:color w:val="202124"/>
          <w:sz w:val="18"/>
          <w:szCs w:val="18"/>
        </w:rPr>
        <w:t>PlanetAPI star = system.initStar(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STAR_ID,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StarTypes.BLACK_HOLE,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500f,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450f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);</w:t>
      </w:r>
    </w:p>
    <w:p>
      <w:r>
        <w:rPr>
          <w:rFonts w:ascii="Arial" w:hAnsi="Arial" w:eastAsia="Arial"/>
          <w:color w:val="000000"/>
          <w:sz w:val="22"/>
          <w:szCs w:val="22"/>
        </w:rPr>
        <w:t>After creation, styleBlackHole(star) retrieves the runtime planet specification and changes this one star's rendering parameters.</w:t>
      </w:r>
    </w:p>
    <w:p>
      <w:pPr>
        <w:pStyle w:val="CodeBlock"/>
      </w:pPr>
      <w:r>
        <w:rPr>
          <w:rFonts w:ascii="Courier New" w:hAnsi="Courier New" w:eastAsia="Courier New"/>
          <w:color w:val="202124"/>
          <w:sz w:val="18"/>
          <w:szCs w:val="18"/>
        </w:rPr>
        <w:t>PlanetSpecAPI spec = star.getSpec();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spec.setPlanetColor(new Color(0, 0, 0, 255));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spec.setAtmosphereColor(new Color(255, 218, 135, 255));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spec.setCoronaColor(new Color(255, 78, 24, 235));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spec.setIconColor(new Color(225, 63, 27, 255));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spec.setCoronaSize(6.1f);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star.setLightColorOverrideIfStar(new Color(255, 104, 43, 255));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star.applySpecChanges();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Planet color: </w:t>
      </w:r>
      <w:r>
        <w:rPr>
          <w:rFonts w:ascii="Arial" w:hAnsi="Arial" w:eastAsia="Arial"/>
          <w:color w:val="000000"/>
          <w:sz w:val="22"/>
          <w:szCs w:val="22"/>
        </w:rPr>
        <w:t>keeps the central body completely black.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Atmosphere color: </w:t>
      </w:r>
      <w:r>
        <w:rPr>
          <w:rFonts w:ascii="Arial" w:hAnsi="Arial" w:eastAsia="Arial"/>
          <w:color w:val="000000"/>
          <w:sz w:val="22"/>
          <w:szCs w:val="22"/>
        </w:rPr>
        <w:t>tints the tight inner rim white-gold.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Corona color: </w:t>
      </w:r>
      <w:r>
        <w:rPr>
          <w:rFonts w:ascii="Arial" w:hAnsi="Arial" w:eastAsia="Arial"/>
          <w:color w:val="000000"/>
          <w:sz w:val="22"/>
          <w:szCs w:val="22"/>
        </w:rPr>
        <w:t>tints the broader halo hot red-orange.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Icon color: </w:t>
      </w:r>
      <w:r>
        <w:rPr>
          <w:rFonts w:ascii="Arial" w:hAnsi="Arial" w:eastAsia="Arial"/>
          <w:color w:val="000000"/>
          <w:sz w:val="22"/>
          <w:szCs w:val="22"/>
        </w:rPr>
        <w:t>changes the campaign-map and starscape representation.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Corona size: </w:t>
      </w:r>
      <w:r>
        <w:rPr>
          <w:rFonts w:ascii="Arial" w:hAnsi="Arial" w:eastAsia="Arial"/>
          <w:color w:val="000000"/>
          <w:sz w:val="22"/>
          <w:szCs w:val="22"/>
        </w:rPr>
        <w:t>enlarges the rendered halo to 6.1.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Star light override: </w:t>
      </w:r>
      <w:r>
        <w:rPr>
          <w:rFonts w:ascii="Arial" w:hAnsi="Arial" w:eastAsia="Arial"/>
          <w:color w:val="000000"/>
          <w:sz w:val="22"/>
          <w:szCs w:val="22"/>
        </w:rPr>
        <w:t>makes the light emitted by the star orange-red.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applySpecChanges(): </w:t>
      </w:r>
      <w:r>
        <w:rPr>
          <w:rFonts w:ascii="Arial" w:hAnsi="Arial" w:eastAsia="Arial"/>
          <w:color w:val="000000"/>
          <w:sz w:val="22"/>
          <w:szCs w:val="22"/>
        </w:rPr>
        <w:t>pushes the runtime specification changes to the renderer.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2. Background and lighting</w:t>
      </w:r>
    </w:p>
    <w:p>
      <w:r>
        <w:rPr>
          <w:rFonts w:ascii="Arial" w:hAnsi="Arial" w:eastAsia="Arial"/>
          <w:color w:val="000000"/>
          <w:sz w:val="22"/>
          <w:szCs w:val="22"/>
        </w:rPr>
        <w:t>The backdrop and illumination are independent of the star-spec colors. They reinforce the same burned palette across the rest of the scene.</w:t>
      </w:r>
    </w:p>
    <w:p>
      <w:pPr>
        <w:pStyle w:val="CodeBlock"/>
      </w:pPr>
      <w:r>
        <w:rPr>
          <w:rFonts w:ascii="Courier New" w:hAnsi="Courier New" w:eastAsia="Courier New"/>
          <w:color w:val="202124"/>
          <w:sz w:val="18"/>
          <w:szCs w:val="18"/>
        </w:rPr>
        <w:t>system.setBackgroundTextureFilename("graphics/da/fx/da_riftbackground.png");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system.setLightColor(new Color(218, 68, 34, 255));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System ambient light: </w:t>
      </w:r>
      <w:r>
        <w:rPr>
          <w:rFonts w:ascii="Arial" w:hAnsi="Arial" w:eastAsia="Arial"/>
          <w:color w:val="000000"/>
          <w:sz w:val="22"/>
          <w:szCs w:val="22"/>
        </w:rPr>
        <w:t>red-orange illumination applied across ships, planets, stations, and other campaign objects.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Star light: </w:t>
      </w:r>
      <w:r>
        <w:rPr>
          <w:rFonts w:ascii="Arial" w:hAnsi="Arial" w:eastAsia="Arial"/>
          <w:color w:val="000000"/>
          <w:sz w:val="22"/>
          <w:szCs w:val="22"/>
        </w:rPr>
        <w:t>a hotter orange override emitted by the black hole itself: 255,104,43,255.</w:t>
      </w:r>
    </w:p>
    <w:p>
      <w:r>
        <w:rPr>
          <w:rFonts w:ascii="Arial" w:hAnsi="Arial" w:eastAsia="Arial"/>
          <w:color w:val="000000"/>
          <w:sz w:val="22"/>
          <w:szCs w:val="22"/>
        </w:rPr>
        <w:t>These values are separate controls. Changing one does not automatically change the other.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3. Event-horizon terrain</w:t>
      </w:r>
    </w:p>
    <w:p>
      <w:r>
        <w:rPr>
          <w:rFonts w:ascii="Arial" w:hAnsi="Arial" w:eastAsia="Arial"/>
          <w:color w:val="000000"/>
          <w:sz w:val="22"/>
          <w:szCs w:val="22"/>
        </w:rPr>
        <w:t>The event horizon is a campaign terrain layer, not the corona sprite. The generator removes the prototype event horizon and recreates it with the following parameters.</w:t>
      </w:r>
    </w:p>
    <w:p>
      <w:pPr>
        <w:pStyle w:val="CodeBlock"/>
      </w:pPr>
      <w:r>
        <w:rPr>
          <w:rFonts w:ascii="Courier New" w:hAnsi="Courier New" w:eastAsia="Courier New"/>
          <w:color w:val="202124"/>
          <w:sz w:val="18"/>
          <w:szCs w:val="18"/>
        </w:rPr>
        <w:t>new EventHorizonPlugin.CoronaParams(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1200f, // terrain band width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600f,  // middle radius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star,  // focus entity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-5f,   // wind-burn level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0f,    // flare probability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1f     // CR-loss multiplier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)</w:t>
      </w:r>
    </w:p>
    <w:p>
      <w:r>
        <w:rPr>
          <w:rFonts w:ascii="Arial" w:hAnsi="Arial" w:eastAsia="Arial"/>
          <w:color w:val="000000"/>
          <w:sz w:val="22"/>
          <w:szCs w:val="22"/>
        </w:rPr>
        <w:t>This constructor has no explicit color argument. The gold and red palette is supplied by the black hole's PlanetSpec and the decorative ring layers.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4. Layered accretion flow</w:t>
      </w:r>
    </w:p>
    <w:p>
      <w:r>
        <w:rPr>
          <w:rFonts w:ascii="Arial" w:hAnsi="Arial" w:eastAsia="Arial"/>
          <w:color w:val="000000"/>
          <w:sz w:val="22"/>
          <w:szCs w:val="22"/>
        </w:rPr>
        <w:t>Starsector does not provide a direct campaign-level effect matching the concept art's side-on accretion disc. The implementation approximates it with five independently rotating vanilla ring bands. RGBA values use the final number as opacity.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nil"/>
          <w:bottom w:val="single" w:sz="4" w:space="0" w:color="DADCE0"/>
          <w:right w:val="nil"/>
          <w:insideH w:val="single" w:sz="4" w:space="0" w:color="DADCE0"/>
          <w:insideV w:val="nil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1800"/>
        <w:gridCol w:w="1700"/>
        <w:gridCol w:w="2350"/>
        <w:gridCol w:w="161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  <w:b/>
                <w:bCs/>
              </w:rPr>
              <w:t>Layer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  <w:b/>
                <w:bCs/>
              </w:rPr>
              <w:t>Vanilla texture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  <w:b/>
                <w:bCs/>
              </w:rPr>
              <w:t>RGBA</w:t>
            </w:r>
          </w:p>
        </w:tc>
        <w:tc>
          <w:tcPr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  <w:b/>
                <w:bCs/>
              </w:rPr>
              <w:t>Geometry</w:t>
            </w:r>
          </w:p>
        </w:tc>
        <w:tc>
          <w:tcPr>
            <w:tcW w:w="1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  <w:b/>
                <w:bCs/>
              </w:rPr>
              <w:t>Motion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White-gold inner rim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rings_special0 / 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255,230,154,245</w:t>
            </w:r>
          </w:p>
        </w:tc>
        <w:tc>
          <w:tcPr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Width 180; radius 720</w:t>
            </w:r>
          </w:p>
        </w:tc>
        <w:tc>
          <w:tcPr>
            <w:tcW w:w="1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15 days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Hot orange ring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rings_special0 / 0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255,137,47,220</w:t>
            </w:r>
          </w:p>
        </w:tc>
        <w:tc>
          <w:tcPr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Width 280; radius 915</w:t>
            </w:r>
          </w:p>
        </w:tc>
        <w:tc>
          <w:tcPr>
            <w:tcW w:w="1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-23 days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Bright red dust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rings_dust0 / 3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236,56,22,195</w:t>
            </w:r>
          </w:p>
        </w:tc>
        <w:tc>
          <w:tcPr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Width 460; radius 1260</w:t>
            </w:r>
          </w:p>
        </w:tc>
        <w:tc>
          <w:tcPr>
            <w:tcW w:w="1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34 days; spiral +0.07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Dark outer flow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rings_dust0 / 1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154,23,13,145</w:t>
            </w:r>
          </w:p>
        </w:tc>
        <w:tc>
          <w:tcPr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Width 760; radius 1780</w:t>
            </w:r>
          </w:p>
        </w:tc>
        <w:tc>
          <w:tcPr>
            <w:tcW w:w="1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-58 days; spiral -0.055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Distant cinder belt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rings_asteroids0 / 0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105,27,20,115</w:t>
            </w:r>
          </w:p>
        </w:tc>
        <w:tc>
          <w:tcPr>
            <w:tcW w:w="235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Width 340; radius 3250</w:t>
            </w:r>
          </w:p>
        </w:tc>
        <w:tc>
          <w:tcPr>
            <w:tcW w:w="161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Arial" w:hAnsi="Arial" w:eastAsia="Arial"/>
                <w:color w:val="000000"/>
                <w:sz w:val="19"/>
                <w:szCs w:val="19"/>
              </w:rPr>
              <w:t>125 days</w:t>
            </w:r>
          </w:p>
        </w:tc>
      </w:tr>
    </w:tbl>
    <w:p>
      <w:pPr>
        <w:pStyle w:val="TableSpacer"/>
      </w:pPr>
      <w:r>
        <w:rPr>
          <w:rFonts w:ascii="Arial" w:hAnsi="Arial" w:eastAsia="Arial"/>
          <w:color w:val="000000"/>
          <w:sz w:val="22"/>
          <w:szCs w:val="22"/>
        </w:rPr>
        <w:t/>
      </w:r>
    </w:p>
    <w:p>
      <w:r>
        <w:rPr>
          <w:rFonts w:ascii="Arial" w:hAnsi="Arial" w:eastAsia="Arial"/>
          <w:color w:val="000000"/>
          <w:sz w:val="22"/>
          <w:szCs w:val="22"/>
        </w:rPr>
        <w:t>Negative orbit durations rotate a band in the opposite direction. The counter-rotation prevents the structure from reading as one static planetary ring.</w:t>
      </w:r>
    </w:p>
    <w:p>
      <w:r>
        <w:rPr>
          <w:rFonts w:ascii="Arial" w:hAnsi="Arial" w:eastAsia="Arial"/>
          <w:color w:val="000000"/>
          <w:sz w:val="22"/>
          <w:szCs w:val="22"/>
        </w:rPr>
        <w:t>The two dust layers are spirals rather than perfect circles. Their opposing spiral factors, +0.07 and -0.055, create an inward, turbulent impression. The rings are decorative entities only; they were not given a ring-terrain plugin and therefore do not impose a ring-terrain gameplay effect.</w:t>
      </w:r>
    </w:p>
    <w:p>
      <w:pPr>
        <w:pStyle w:val="CodeBlock"/>
      </w:pPr>
      <w:r>
        <w:rPr>
          <w:rFonts w:ascii="Courier New" w:hAnsi="Courier New" w:eastAsia="Courier New"/>
          <w:color w:val="202124"/>
          <w:sz w:val="18"/>
          <w:szCs w:val="18"/>
        </w:rPr>
        <w:t>band.setId(id);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band.setSpiral(spiral);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band.setMinSpiralRadius(minSpiralRadius);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band.setSpiralFactor(spiralFactor);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5. FOB-01 aura and vitrified wreckage</w:t>
      </w:r>
    </w:p>
    <w:p>
      <w:pPr>
        <w:pStyle w:val="Heading2"/>
        <w:keepNext/>
      </w:pPr>
      <w:r>
        <w:rPr>
          <w:rFonts w:ascii="Arial" w:hAnsi="Arial" w:eastAsia="Arial"/>
          <w:color w:val="000000"/>
          <w:sz w:val="22"/>
          <w:szCs w:val="22"/>
        </w:rPr>
        <w:t>Planetary magnetic field</w:t>
      </w:r>
    </w:p>
    <w:p>
      <w:r>
        <w:rPr>
          <w:rFonts w:ascii="Arial" w:hAnsi="Arial" w:eastAsia="Arial"/>
          <w:color w:val="000000"/>
          <w:sz w:val="22"/>
          <w:szCs w:val="22"/>
        </w:rPr>
        <w:t>The original purple aura around FOB-01 was not produced by the irradiated market condition. It was an explicitly created MagneticFieldTerrainPlugin. The field is now rebuilt with a dark-red, orange, and gold aurora palette.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Geometry: </w:t>
      </w:r>
      <w:r>
        <w:rPr>
          <w:rFonts w:ascii="Arial" w:hAnsi="Arial" w:eastAsia="Arial"/>
          <w:color w:val="000000"/>
          <w:sz w:val="22"/>
          <w:szCs w:val="22"/>
        </w:rPr>
        <w:t>150 band width, 500 middle radius, 350 inner radius, and 650 outer radius.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Base color: </w:t>
      </w:r>
      <w:r>
        <w:rPr>
          <w:rFonts w:ascii="Arial" w:hAnsi="Arial" w:eastAsia="Arial"/>
          <w:color w:val="000000"/>
          <w:sz w:val="22"/>
          <w:szCs w:val="22"/>
        </w:rPr>
        <w:t>84,13,8,85.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Brightest aurora color: </w:t>
      </w:r>
      <w:r>
        <w:rPr>
          <w:rFonts w:ascii="Arial" w:hAnsi="Arial" w:eastAsia="Arial"/>
          <w:color w:val="000000"/>
          <w:sz w:val="22"/>
          <w:szCs w:val="22"/>
        </w:rPr>
        <w:t>255,191,82,245.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Result: </w:t>
      </w:r>
      <w:r>
        <w:rPr>
          <w:rFonts w:ascii="Arial" w:hAnsi="Arial" w:eastAsia="Arial"/>
          <w:color w:val="000000"/>
          <w:sz w:val="22"/>
          <w:szCs w:val="22"/>
        </w:rPr>
        <w:t>the planet's remaining purple visual component becomes an ember-colored burn aura.</w:t>
      </w:r>
    </w:p>
    <w:p>
      <w:pPr>
        <w:pStyle w:val="Heading2"/>
        <w:keepNext/>
      </w:pPr>
      <w:r>
        <w:rPr>
          <w:rFonts w:ascii="Arial" w:hAnsi="Arial" w:eastAsia="Arial"/>
          <w:color w:val="000000"/>
          <w:sz w:val="22"/>
          <w:szCs w:val="22"/>
        </w:rPr>
        <w:t>Vitrified wreckage</w:t>
      </w:r>
    </w:p>
    <w:p>
      <w:r>
        <w:rPr>
          <w:rFonts w:ascii="Arial" w:hAnsi="Arial" w:eastAsia="Arial"/>
          <w:color w:val="000000"/>
          <w:sz w:val="22"/>
          <w:szCs w:val="22"/>
        </w:rPr>
        <w:t>A vanilla debris-field terrain is centered on FOB-01 to imply destroyed infrastructure around the planet and ruined station.</w:t>
      </w:r>
    </w:p>
    <w:p>
      <w:pPr>
        <w:pStyle w:val="CodeBlock"/>
      </w:pPr>
      <w:r>
        <w:rPr>
          <w:rFonts w:ascii="Courier New" w:hAnsi="Courier New" w:eastAsia="Courier New"/>
          <w:color w:val="202124"/>
          <w:sz w:val="18"/>
          <w:szCs w:val="18"/>
        </w:rPr>
        <w:t>new DebrisFieldTerrainPlugin.DebrisFieldParams(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900f,       // radius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0.65f,      // density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10000000f,  // duration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 xml:space="preserve">        0f          // glowing-piece generation period</w:t>
      </w:r>
      <w:r>
        <w:br/>
      </w:r>
      <w:r>
        <w:rPr>
          <w:rFonts w:ascii="Courier New" w:hAnsi="Courier New" w:eastAsia="Courier New"/>
          <w:color w:val="202124"/>
          <w:sz w:val="18"/>
          <w:szCs w:val="18"/>
        </w:rPr>
        <w:t>);</w:t>
      </w:r>
    </w:p>
    <w:p>
      <w:r>
        <w:rPr>
          <w:rFonts w:ascii="Arial" w:hAnsi="Arial" w:eastAsia="Arial"/>
          <w:color w:val="000000"/>
          <w:sz w:val="22"/>
          <w:szCs w:val="22"/>
        </w:rPr>
        <w:t>It has no sensor profile, no discoverability, no glowing-piece period, and zero base salvage XP. It is intended as ambient wreckage. It still uses Starsector's real debris-field implementation; replace it with decorative sprites if strict zero-interaction behavior is ever required.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6. Existing-save migration and duplicate prevention</w:t>
      </w:r>
    </w:p>
    <w:p>
      <w:r>
        <w:rPr>
          <w:rFonts w:ascii="Arial" w:hAnsi="Arial" w:eastAsia="Arial"/>
          <w:color w:val="000000"/>
          <w:sz w:val="22"/>
          <w:szCs w:val="22"/>
        </w:rPr>
        <w:t>The system generator also runs when a save is loaded. Every decorative Blacksite object receives a stable ID so revisions can be applied without accumulating duplicate visuals.</w:t>
      </w:r>
    </w:p>
    <w:p>
      <w:pPr>
        <w:pStyle w:val="ListBullet"/>
        <w:numPr>
          <w:ilvl w:val="0"/>
          <w:numId w:val="1"/>
        </w:numPr>
      </w:pPr>
      <w:r>
        <w:rPr>
          <w:rFonts w:ascii="Courier New" w:hAnsi="Courier New" w:eastAsia="Courier New"/>
          <w:color w:val="000000"/>
          <w:sz w:val="19"/>
          <w:szCs w:val="19"/>
        </w:rPr>
        <w:t>diableavionics_blacksite_accretion_inner</w:t>
      </w:r>
    </w:p>
    <w:p>
      <w:pPr>
        <w:pStyle w:val="ListBullet"/>
        <w:numPr>
          <w:ilvl w:val="0"/>
          <w:numId w:val="1"/>
        </w:numPr>
      </w:pPr>
      <w:r>
        <w:rPr>
          <w:rFonts w:ascii="Courier New" w:hAnsi="Courier New" w:eastAsia="Courier New"/>
          <w:color w:val="000000"/>
          <w:sz w:val="19"/>
          <w:szCs w:val="19"/>
        </w:rPr>
        <w:t>diableavionics_blacksite_accretion_hot</w:t>
      </w:r>
    </w:p>
    <w:p>
      <w:pPr>
        <w:pStyle w:val="ListBullet"/>
        <w:numPr>
          <w:ilvl w:val="0"/>
          <w:numId w:val="1"/>
        </w:numPr>
      </w:pPr>
      <w:r>
        <w:rPr>
          <w:rFonts w:ascii="Courier New" w:hAnsi="Courier New" w:eastAsia="Courier New"/>
          <w:color w:val="000000"/>
          <w:sz w:val="19"/>
          <w:szCs w:val="19"/>
        </w:rPr>
        <w:t>diableavionics_blacksite_accretion_middle</w:t>
      </w:r>
    </w:p>
    <w:p>
      <w:pPr>
        <w:pStyle w:val="ListBullet"/>
        <w:numPr>
          <w:ilvl w:val="0"/>
          <w:numId w:val="1"/>
        </w:numPr>
      </w:pPr>
      <w:r>
        <w:rPr>
          <w:rFonts w:ascii="Courier New" w:hAnsi="Courier New" w:eastAsia="Courier New"/>
          <w:color w:val="000000"/>
          <w:sz w:val="19"/>
          <w:szCs w:val="19"/>
        </w:rPr>
        <w:t>diableavionics_blacksite_accretion_outer</w:t>
      </w:r>
    </w:p>
    <w:p>
      <w:pPr>
        <w:pStyle w:val="ListBullet"/>
        <w:numPr>
          <w:ilvl w:val="0"/>
          <w:numId w:val="1"/>
        </w:numPr>
      </w:pPr>
      <w:r>
        <w:rPr>
          <w:rFonts w:ascii="Courier New" w:hAnsi="Courier New" w:eastAsia="Courier New"/>
          <w:color w:val="000000"/>
          <w:sz w:val="19"/>
          <w:szCs w:val="19"/>
        </w:rPr>
        <w:t>diableavionics_blacksite_cinder_ring</w:t>
      </w:r>
    </w:p>
    <w:p>
      <w:pPr>
        <w:pStyle w:val="ListBullet"/>
        <w:numPr>
          <w:ilvl w:val="0"/>
          <w:numId w:val="1"/>
        </w:numPr>
      </w:pPr>
      <w:r>
        <w:rPr>
          <w:rFonts w:ascii="Courier New" w:hAnsi="Courier New" w:eastAsia="Courier New"/>
          <w:color w:val="000000"/>
          <w:sz w:val="19"/>
          <w:szCs w:val="19"/>
        </w:rPr>
        <w:t>diableavionics_blacksite_wreckage</w:t>
      </w:r>
    </w:p>
    <w:p>
      <w:pPr>
        <w:pStyle w:val="ListNumber"/>
        <w:numPr>
          <w:ilvl w:val="0"/>
          <w:numId w:val="2"/>
        </w:numPr>
      </w:pPr>
      <w:r>
        <w:rPr>
          <w:rFonts w:ascii="Arial" w:hAnsi="Arial" w:eastAsia="Arial"/>
          <w:color w:val="000000"/>
          <w:sz w:val="22"/>
          <w:szCs w:val="22"/>
        </w:rPr>
        <w:t>Find the existing Blacksite, or create it if it does not exist.</w:t>
      </w:r>
    </w:p>
    <w:p>
      <w:pPr>
        <w:pStyle w:val="ListNumber"/>
        <w:numPr>
          <w:ilvl w:val="0"/>
          <w:numId w:val="2"/>
        </w:numPr>
      </w:pPr>
      <w:r>
        <w:rPr>
          <w:rFonts w:ascii="Arial" w:hAnsi="Arial" w:eastAsia="Arial"/>
          <w:color w:val="000000"/>
          <w:sz w:val="22"/>
          <w:szCs w:val="22"/>
        </w:rPr>
        <w:t>Remove the six known visual entities by their stable IDs.</w:t>
      </w:r>
    </w:p>
    <w:p>
      <w:pPr>
        <w:pStyle w:val="ListNumber"/>
        <w:numPr>
          <w:ilvl w:val="0"/>
          <w:numId w:val="2"/>
        </w:numPr>
      </w:pPr>
      <w:r>
        <w:rPr>
          <w:rFonts w:ascii="Arial" w:hAnsi="Arial" w:eastAsia="Arial"/>
          <w:color w:val="000000"/>
          <w:sz w:val="22"/>
          <w:szCs w:val="22"/>
        </w:rPr>
        <w:t>Recreate the rings and wreckage using the current parameters.</w:t>
      </w:r>
    </w:p>
    <w:p>
      <w:pPr>
        <w:pStyle w:val="ListNumber"/>
        <w:numPr>
          <w:ilvl w:val="0"/>
          <w:numId w:val="2"/>
        </w:numPr>
      </w:pPr>
      <w:r>
        <w:rPr>
          <w:rFonts w:ascii="Arial" w:hAnsi="Arial" w:eastAsia="Arial"/>
          <w:color w:val="000000"/>
          <w:sz w:val="22"/>
          <w:szCs w:val="22"/>
        </w:rPr>
        <w:t>Replace the event-horizon and magnetic-field terrain layers.</w:t>
      </w:r>
    </w:p>
    <w:p>
      <w:pPr>
        <w:pStyle w:val="ListNumber"/>
        <w:numPr>
          <w:ilvl w:val="0"/>
          <w:numId w:val="2"/>
        </w:numPr>
      </w:pPr>
      <w:r>
        <w:rPr>
          <w:rFonts w:ascii="Arial" w:hAnsi="Arial" w:eastAsia="Arial"/>
          <w:color w:val="000000"/>
          <w:sz w:val="22"/>
          <w:szCs w:val="22"/>
        </w:rPr>
        <w:t>Update all system orbits.</w:t>
      </w:r>
    </w:p>
    <w:p>
      <w:pPr>
        <w:pStyle w:val="Heading2"/>
        <w:keepNext/>
      </w:pPr>
      <w:r>
        <w:rPr>
          <w:rFonts w:ascii="Arial" w:hAnsi="Arial" w:eastAsia="Arial"/>
          <w:color w:val="000000"/>
          <w:sz w:val="22"/>
          <w:szCs w:val="22"/>
        </w:rPr>
        <w:t>Maintenance caveat</w:t>
      </w:r>
    </w:p>
    <w:p>
      <w:r>
        <w:rPr>
          <w:rFonts w:ascii="Arial" w:hAnsi="Arial" w:eastAsia="Arial"/>
          <w:color w:val="000000"/>
          <w:sz w:val="22"/>
          <w:szCs w:val="22"/>
        </w:rPr>
        <w:t>The current replacement methods remove every EVENT_HORIZON and MAGNETIC_FIELD terrain object in this one-purpose system. If another collaborator later adds a second intentional magnetic field or event horizon, the removal logic must be narrowed by entity ID or focus instead of filtering only by terrain type.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7. Where collaborators should edit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Source file: </w:t>
      </w:r>
      <w:r>
        <w:rPr>
          <w:rFonts w:ascii="Courier New" w:hAnsi="Courier New" w:eastAsia="Courier New"/>
          <w:color w:val="000000"/>
          <w:sz w:val="19"/>
          <w:szCs w:val="19"/>
        </w:rPr>
        <w:t>src/data/scripts/world/systems/Diableavionics_blackSite.java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Black-hole palette: </w:t>
      </w:r>
      <w:r>
        <w:rPr>
          <w:rFonts w:ascii="Courier New" w:hAnsi="Courier New" w:eastAsia="Courier New"/>
          <w:color w:val="000000"/>
          <w:sz w:val="19"/>
          <w:szCs w:val="19"/>
        </w:rPr>
        <w:t>styleBlackHole()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Accretion layout: </w:t>
      </w:r>
      <w:r>
        <w:rPr>
          <w:rFonts w:ascii="Courier New" w:hAnsi="Courier New" w:eastAsia="Courier New"/>
          <w:color w:val="000000"/>
          <w:sz w:val="19"/>
          <w:szCs w:val="19"/>
        </w:rPr>
        <w:t>rebuildBurnedSystemVisuals() and addBurnedRing()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Planet aura: </w:t>
      </w:r>
      <w:r>
        <w:rPr>
          <w:rFonts w:ascii="Courier New" w:hAnsi="Courier New" w:eastAsia="Courier New"/>
          <w:color w:val="000000"/>
          <w:sz w:val="19"/>
          <w:szCs w:val="19"/>
        </w:rPr>
        <w:t>replacePlanetMagneticField()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Hazard geometry: </w:t>
      </w:r>
      <w:r>
        <w:rPr>
          <w:rFonts w:ascii="Courier New" w:hAnsi="Courier New" w:eastAsia="Courier New"/>
          <w:color w:val="000000"/>
          <w:sz w:val="19"/>
          <w:szCs w:val="19"/>
        </w:rPr>
        <w:t>replaceEventHorizon()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eastAsia="Arial"/>
          <w:color w:val="000000"/>
          <w:sz w:val="22"/>
          <w:szCs w:val="22"/>
          <w:b/>
          <w:bCs/>
        </w:rPr>
        <w:t xml:space="preserve">Runtime output: </w:t>
      </w:r>
      <w:r>
        <w:rPr>
          <w:rFonts w:ascii="Courier New" w:hAnsi="Courier New" w:eastAsia="Courier New"/>
          <w:color w:val="000000"/>
          <w:sz w:val="19"/>
          <w:szCs w:val="19"/>
        </w:rPr>
        <w:t>jars/Diable.jar</w:t>
      </w:r>
    </w:p>
    <w:p>
      <w:pPr>
        <w:pStyle w:val="Heading1"/>
        <w:keepNext/>
      </w:pPr>
      <w:r>
        <w:rPr>
          <w:rFonts w:ascii="Arial" w:hAnsi="Arial" w:eastAsia="Arial"/>
          <w:color w:val="000000"/>
          <w:sz w:val="22"/>
          <w:szCs w:val="22"/>
        </w:rPr>
        <w:t>Collaborator-ready summary</w:t>
      </w:r>
    </w:p>
    <w:p>
      <w:pPr>
        <w:pStyle w:val="SummaryQuote"/>
      </w:pPr>
      <w:r>
        <w:rPr>
          <w:rFonts w:ascii="Arial" w:hAnsi="Arial" w:eastAsia="Arial"/>
          <w:color w:val="000000"/>
          <w:sz w:val="22"/>
          <w:szCs w:val="22"/>
          <w:i/>
          <w:iCs/>
        </w:rPr>
        <w:t>The Blacksite still uses the vanilla black-hole type and textures. Its individual PlanetSpec is recolored at runtime to give it a black core, gold inner rim, and red-orange corona. The larger accretion flow is five separately rotating vanilla ring-band sprites, with two warped into opposing spirals. System lighting, the planet's magnetic field, and the surrounding debris were independently recolored or added to complete the burned-system appearance.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family w:val="swiss"/>
    <w:pitch w:val="variable"/>
  </w:font>
  <w:font w:name="Courier New">
    <w:family w:val="modern"/>
    <w:pitch w:val="fixed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color w:val="000000"/>
        <w:sz w:val="22"/>
        <w:szCs w:val="22"/>
      </w:rPr>
    </w:rPrDefault>
    <w:pPrDefault>
      <w:pPr>
        <w:spacing w:before="0" w:after="160" w:line="276" w:lineRule="auto"/>
      </w:pPr>
    </w:pPrDefault>
  </w:docDefaults>
  <w:style w:type="paragraph" w:default="1" w:styleId="Normal">
    <w:name w:val="Normal"/>
    <w:qFormat/>
    <w:pPr>
      <w:spacing w:before="0" w:after="160" w:line="276" w:lineRule="auto"/>
    </w:pPr>
    <w:rPr>
      <w:rFonts w:ascii="Arial" w:hAnsi="Arial" w:eastAsia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outlineLvl w:val="0"/>
      <w:spacing w:before="400" w:after="120"/>
    </w:pPr>
    <w:rPr>
      <w:rFonts w:ascii="Arial" w:hAnsi="Arial"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outlineLvl w:val="1"/>
      <w:spacing w:before="360" w:after="120"/>
    </w:pPr>
    <w:rPr>
      <w:rFonts w:ascii="Arial" w:hAnsi="Arial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outlineLvl w:val="2"/>
      <w:spacing w:before="320" w:after="80"/>
    </w:pPr>
    <w:rPr>
      <w:rFonts w:ascii="Arial" w:hAnsi="Arial"/>
      <w:color w:val="434343"/>
      <w:sz w:val="28"/>
      <w:szCs w:val="28"/>
    </w:rPr>
  </w:style>
  <w:style w:type="paragraph" w:styleId="ListBullet">
    <w:name w:val="List Bullet"/>
    <w:basedOn w:val="Normal"/>
    <w:qFormat/>
    <w:pPr>
      <w:spacing w:before="0" w:after="80" w:line="276" w:lineRule="auto"/>
    </w:pPr>
  </w:style>
  <w:style w:type="paragraph" w:styleId="ListNumber">
    <w:name w:val="List Number"/>
    <w:basedOn w:val="Normal"/>
    <w:qFormat/>
    <w:pPr>
      <w:spacing w:before="0" w:after="80" w:line="276" w:lineRule="auto"/>
    </w:pPr>
  </w:style>
  <w:style w:type="paragraph" w:styleId="CodeBlock">
    <w:name w:val="Code Block"/>
    <w:basedOn w:val="Normal"/>
    <w:pPr>
      <w:keepLines/>
      <w:spacing w:before="80" w:after="160" w:line="240" w:lineRule="auto"/>
      <w:ind w:left="180" w:right="180"/>
      <w:shd w:val="clear" w:color="auto" w:fill="F5F5F5"/>
      <w:pBdr>
        <w:top w:val="single" w:sz="4" w:space="4" w:color="DADCE0"/>
        <w:left w:val="single" w:sz="4" w:space="4" w:color="DADCE0"/>
        <w:bottom w:val="single" w:sz="4" w:space="4" w:color="DADCE0"/>
        <w:right w:val="single" w:sz="4" w:space="4" w:color="DADCE0"/>
      </w:pBdr>
    </w:pPr>
    <w:rPr>
      <w:rFonts w:ascii="Courier New" w:hAnsi="Courier New"/>
      <w:color w:val="202124"/>
      <w:sz w:val="18"/>
      <w:szCs w:val="18"/>
    </w:rPr>
  </w:style>
  <w:style w:type="paragraph" w:styleId="TableText">
    <w:name w:val="Table Text"/>
    <w:basedOn w:val="Normal"/>
    <w:pPr>
      <w:spacing w:before="0" w:after="0" w:line="240" w:lineRule="auto"/>
    </w:pPr>
    <w:rPr>
      <w:rFonts w:ascii="Arial" w:hAnsi="Arial"/>
      <w:color w:val="000000"/>
      <w:sz w:val="19"/>
      <w:szCs w:val="19"/>
    </w:rPr>
  </w:style>
  <w:style w:type="paragraph" w:styleId="TableSpacer">
    <w:name w:val="Table Spacer"/>
    <w:basedOn w:val="Normal"/>
    <w:pPr>
      <w:spacing w:before="0" w:after="80"/>
      <w:rPr>
        <w:sz w:val="4"/>
      </w:rPr>
    </w:pPr>
  </w:style>
  <w:style w:type="paragraph" w:styleId="SummaryQuote">
    <w:name w:val="Summary Quote"/>
    <w:basedOn w:val="Normal"/>
    <w:pPr>
      <w:spacing w:before="80" w:after="160" w:line="276" w:lineRule="auto"/>
      <w:ind w:left="360" w:right="180"/>
      <w:pBdr>
        <w:left w:val="single" w:sz="14" w:space="10" w:color="DADCE0"/>
      </w:pBd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Diable Avionics Documentation</Application>
  <DocSecurity>0</DocSecurity>
  <ScaleCrop>false</ScaleCrop>
  <Company>Diable Avionics Project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Diable Blacksite: Black Hole and Burned-System Visual Guide</dc:title>
  <dc:subject>Collaborator implementation guide</dc:subject>
  <dc:creator>Diable Avionics Project</dc:creator>
  <cp:lastModifiedBy>Diable Avionics Project</cp:lastModifiedBy>
  <dcterms:created xsi:type="dcterms:W3CDTF">2026-07-21T00:00:00Z</dcterms:created>
  <dcterms:modified xsi:type="dcterms:W3CDTF">2026-07-21T00:00:00Z</dcterms:modified>
</cp:coreProperties>
</file>