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Arsitektur Komputer</w:t>
            </w:r>
          </w:p>
        </w:tc>
        <w:tc>
          <w:tcPr>
            <w:tcW w:w="2445" w:type="dxa"/>
            <w:gridSpan w:val="2"/>
          </w:tcPr>
          <w:p>
            <w:pPr>
              <w:spacing w:before="0" w:after="0" w:line="240" w:lineRule="auto"/>
              <w:jc w:val="center"/>
            </w:pPr>
            <w:r>
              <w:rPr>
                <w:rFonts w:ascii="Calibri" w:hAnsi="Calibri" w:cs="Calibri"/>
                <w:sz w:val="22"/>
                <w:szCs w:val="22"/>
                <w:lang w:val="id-ID"/>
              </w:rPr>
              <w:t xml:space="preserve">IF1303</w:t>
            </w:r>
          </w:p>
        </w:tc>
        <w:tc>
          <w:tcPr>
            <w:tcW w:w="2976" w:type="dxa"/>
            <w:gridSpan w:val="6"/>
          </w:tcPr>
          <w:p>
            <w:pPr>
              <w:spacing w:before="0" w:after="0" w:line="240" w:lineRule="auto"/>
            </w:pPr>
            <w:r>
              <w:rPr>
                <w:rFonts w:ascii="Calibri" w:hAnsi="Calibri" w:cs="Calibri"/>
                <w:sz w:val="22"/>
                <w:szCs w:val="22"/>
                <w:lang w:val="id-ID"/>
              </w:rPr>
              <w:t xml:space="preserve">Sistem Komputer &amp; Jaringan (MK Kompetensi Utama)</w:t>
            </w:r>
          </w:p>
        </w:tc>
        <w:tc>
          <w:tcPr>
            <w:tcW w:w="1134" w:type="dxa"/>
          </w:tcPr>
          <w:p>
            <w:pPr>
              <w:spacing w:before="0" w:after="0" w:line="240" w:lineRule="auto"/>
              <w:jc w:val="center"/>
            </w:pPr>
            <w:r>
              <w:rPr>
                <w:rFonts w:ascii="Calibri" w:hAnsi="Calibri" w:cs="Calibri"/>
                <w:b/>
                <w:bCs/>
                <w:sz w:val="22"/>
                <w:szCs w:val="22"/>
                <w:lang w:val="id-ID"/>
              </w:rPr>
              <w:t xml:space="preserve">T=2</w:t>
            </w:r>
          </w:p>
        </w:tc>
        <w:tc>
          <w:tcPr>
            <w:tcW w:w="851" w:type="dxa"/>
          </w:tcPr>
          <w:p>
            <w:pPr>
              <w:spacing w:before="0" w:after="0" w:line="240" w:lineRule="auto"/>
              <w:jc w:val="center"/>
            </w:pPr>
            <w:r>
              <w:rPr>
                <w:rFonts w:ascii="Calibri" w:hAnsi="Calibri" w:cs="Calibri"/>
                <w:b/>
                <w:bCs/>
                <w:sz w:val="22"/>
                <w:szCs w:val="22"/>
                <w:lang w:val="id-ID"/>
              </w:rPr>
              <w:t xml:space="preserve">P=1</w:t>
            </w:r>
          </w:p>
        </w:tc>
        <w:tc>
          <w:tcPr>
            <w:tcW w:w="1701" w:type="dxa"/>
          </w:tcPr>
          <w:p>
            <w:pPr>
              <w:spacing w:before="0" w:after="0" w:line="240" w:lineRule="auto"/>
              <w:jc w:val="center"/>
            </w:pPr>
            <w:r>
              <w:rPr>
                <w:rFonts w:ascii="Calibri" w:hAnsi="Calibri" w:cs="Calibri"/>
                <w:sz w:val="22"/>
                <w:szCs w:val="22"/>
                <w:lang w:val="id-ID"/>
              </w:rPr>
              <w:t xml:space="preserve">I</w:t>
            </w:r>
          </w:p>
        </w:tc>
        <w:tc>
          <w:tcPr>
            <w:tcW w:w="1707" w:type="dxa"/>
            <w:gridSpan w:val="2"/>
          </w:tcPr>
          <w:p>
            <w:pPr>
              <w:spacing w:before="0" w:after="0" w:line="240" w:lineRule="auto"/>
            </w:pPr>
            <w:r>
              <w:rPr>
                <w:rFonts w:ascii="Calibri" w:hAnsi="Calibri" w:cs="Calibri"/>
                <w:sz w:val="22"/>
                <w:szCs w:val="22"/>
                <w:lang w:val="id-ID"/>
              </w:rPr>
              <w:t xml:space="preserve">1 September 2026</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Aris Wijayanti,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Aris Wijayanti,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CPL03</w:t>
            </w:r>
          </w:p>
        </w:tc>
        <w:tc>
          <w:tcPr>
            <w:tcW w:w="11913" w:type="dxa"/>
            <w:gridSpan w:val="14"/>
          </w:tcPr>
          <w:p>
            <w:pPr>
              <w:spacing w:before="0" w:after="0" w:line="240" w:lineRule="auto"/>
            </w:pPr>
            <w:r>
              <w:rPr>
                <w:rFonts w:ascii="Calibri" w:hAnsi="Calibri" w:cs="Calibri"/>
                <w:sz w:val="22"/>
                <w:szCs w:val="22"/>
                <w:lang w:val="id-ID"/>
              </w:rPr>
              <w:t xml:space="preserve">Memiliki kemampuan memahami cara kerja sistem komputer serta menerapkan berbagai algoritma/metode untuk memecahkan masalah dalam suatu organisasi. </w:t>
            </w:r>
            <w:r>
              <w:rPr>
                <w:rFonts w:ascii="Calibri" w:hAnsi="Calibri" w:cs="Calibri"/>
                <w:b/>
                <w:bCs/>
                <w:sz w:val="22"/>
                <w:szCs w:val="22"/>
                <w:lang w:val="id-ID"/>
              </w:rPr>
              <w:t xml:space="preserve">(Kognitif – C2, C3)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CPL05</w:t>
            </w:r>
          </w:p>
        </w:tc>
        <w:tc>
          <w:tcPr>
            <w:tcW w:w="11913" w:type="dxa"/>
            <w:gridSpan w:val="14"/>
          </w:tcPr>
          <w:p>
            <w:pPr>
              <w:spacing w:before="0" w:after="0" w:line="240" w:lineRule="auto"/>
            </w:pPr>
            <w:r>
              <w:rPr>
                <w:rFonts w:ascii="Calibri" w:hAnsi="Calibri" w:cs="Calibri"/>
                <w:sz w:val="22"/>
                <w:szCs w:val="22"/>
                <w:lang w:val="id-ID"/>
              </w:rPr>
              <w:t xml:space="preserve">Menguasai konsep teoritis dalam bidang Informatika/Ilmu Komputer untuk mendesain dan mensimulasikan aplikasi teknologi multi-platform yang sesuai dengan kebutuhan industri dan masyarakat. </w:t>
            </w:r>
            <w:r>
              <w:rPr>
                <w:rFonts w:ascii="Calibri" w:hAnsi="Calibri" w:cs="Calibri"/>
                <w:b/>
                <w:bCs/>
                <w:sz w:val="22"/>
                <w:szCs w:val="22"/>
                <w:lang w:val="id-ID"/>
              </w:rPr>
              <w:t xml:space="preserve">(Kognitif – C2, C6)</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CPMK031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menjelaskan</w:t>
            </w:r>
            <w:r>
              <w:rPr>
                <w:rFonts w:ascii="Calibri" w:hAnsi="Calibri" w:cs="Calibri"/>
                <w:sz w:val="22"/>
                <w:szCs w:val="22"/>
                <w:lang w:val="id-ID"/>
              </w:rPr>
              <w:t xml:space="preserve"> struktur hierarkis, organisasi internal, dan siklus eksekusi instruksi pada CPU modern [C2]. — Kontribusi 50% terhadap CPL03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CPMK032</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menganalisis</w:t>
            </w:r>
            <w:r>
              <w:rPr>
                <w:rFonts w:ascii="Calibri" w:hAnsi="Calibri" w:cs="Calibri"/>
                <w:sz w:val="22"/>
                <w:szCs w:val="22"/>
                <w:lang w:val="id-ID"/>
              </w:rPr>
              <w:t xml:space="preserve"> mekanisme transfer data interkoneksi bus, sistem I/O, dan sistem interupsi pada komputer [C4]. — Kontribusi 50% terhadap CPL03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CPMK051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mengevaluasi</w:t>
            </w:r>
            <w:r>
              <w:rPr>
                <w:rFonts w:ascii="Calibri" w:hAnsi="Calibri" w:cs="Calibri"/>
                <w:sz w:val="22"/>
                <w:szCs w:val="22"/>
                <w:lang w:val="id-ID"/>
              </w:rPr>
              <w:t xml:space="preserve"> kinerja hierarki memori (Cache, RAM, Virtual Memory) dan arsitektur prosesor (RISC, CISC, Pipelining, Multicore) [C5]. — Kontribusi 100% terhadap CPL05</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perbedaan organisasi dan arsitektur komputer, sejarah evolusi arsitektur komputer (Von Neumann), serta metrik pengukuran kinerja komputer [C2, A2]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menguraikan</w:t>
            </w:r>
            <w:r>
              <w:rPr>
                <w:rFonts w:ascii="Calibri" w:hAnsi="Calibri" w:cs="Calibri"/>
                <w:sz w:val="22"/>
                <w:szCs w:val="22"/>
                <w:lang w:val="id-ID"/>
              </w:rPr>
              <w:t xml:space="preserve"> siklus instruksi (fetch, decode, execute, interrupt) dan struktur set register pada Central Processing Unit (CPU) [C2, A2]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arsitektur Arithmetic and Logic Unit (ALU), representasi data fixed-point/floating-point (IEEE 754), dan operasi aritmetika biner [C4, A2]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arsitektur Instruction Set Architecture (ISA), mode pengalamatan (addressing modes), serta perbandingan karakteristik RISC vs CISC [C2, A2]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konsep pipelining instruksi, hazard pipelining (structural, data, control hazard), dan strategi penanganannya [C4, A3] (CPMK051)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mengevaluasi</w:t>
            </w:r>
            <w:r>
              <w:rPr>
                <w:rFonts w:ascii="Calibri" w:hAnsi="Calibri" w:cs="Calibri"/>
                <w:sz w:val="22"/>
                <w:szCs w:val="22"/>
                <w:lang w:val="id-ID"/>
              </w:rPr>
              <w:t xml:space="preserve"> hierarki memori komputer, prinsip locality of reference, organisasi cache memory (mapping, replacement policy), dan memori virtual [C5, A3] (CPMK051)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menguraikan</w:t>
            </w:r>
            <w:r>
              <w:rPr>
                <w:rFonts w:ascii="Calibri" w:hAnsi="Calibri" w:cs="Calibri"/>
                <w:sz w:val="22"/>
                <w:szCs w:val="22"/>
                <w:lang w:val="id-ID"/>
              </w:rPr>
              <w:t xml:space="preserve"> struktur interkoneksi bus (data, address, control bus) serta teknik modul I/O (programmed I/O, interrupt-driven I/O, dan Direct Memory Access / DMA) [C3, A2] (CPMK032)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perkembangan arsitektur prosesor paralel, multicore processor, Graphics Processing Unit (GPU), dan arsitektur komputasi modern [C4, A3] (CPMK051)</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CPL03 (%)</w:t>
                  </w:r>
                </w:p>
              </w:tc>
              <w:tc>
                <w:tcPr>
                  <w:tcW w:w="2701" w:type="dxa"/>
                </w:tcPr>
                <w:p>
                  <w:pPr>
                    <w:spacing w:before="0" w:after="0" w:line="240" w:lineRule="auto"/>
                    <w:jc w:val="center"/>
                  </w:pPr>
                  <w:r>
                    <w:rPr>
                      <w:rFonts w:ascii="Calibri" w:hAnsi="Calibri" w:cs="Calibri"/>
                      <w:b/>
                      <w:bCs/>
                      <w:sz w:val="22"/>
                      <w:szCs w:val="22"/>
                      <w:lang w:val="id-ID"/>
                    </w:rPr>
                    <w:t xml:space="preserve">CPL05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5</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r>
                    <w:rPr>
                      <w:rFonts w:ascii="Calibri" w:hAnsi="Calibri" w:cs="Calibri"/>
                      <w:sz w:val="22"/>
                      <w:szCs w:val="22"/>
                      <w:lang w:val="id-ID"/>
                    </w:rPr>
                    <w:t xml:space="preserve">10</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r>
                    <w:rPr>
                      <w:rFonts w:ascii="Calibri" w:hAnsi="Calibri" w:cs="Calibri"/>
                      <w:sz w:val="22"/>
                      <w:szCs w:val="22"/>
                      <w:lang w:val="id-ID"/>
                    </w:rPr>
                    <w:t xml:space="preserve">15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r>
                    <w:rPr>
                      <w:rFonts w:ascii="Calibri" w:hAnsi="Calibri" w:cs="Calibri"/>
                      <w:sz w:val="22"/>
                      <w:szCs w:val="22"/>
                      <w:lang w:val="id-ID"/>
                    </w:rPr>
                    <w:t xml:space="preserve">17</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17</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16</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16</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59</w:t>
                  </w:r>
                </w:p>
              </w:tc>
              <w:tc>
                <w:tcPr>
                  <w:tcW w:w="2701" w:type="dxa"/>
                </w:tcPr>
                <w:p>
                  <w:pPr>
                    <w:spacing w:before="0" w:after="0" w:line="240" w:lineRule="auto"/>
                    <w:jc w:val="center"/>
                  </w:pPr>
                  <w:r>
                    <w:rPr>
                      <w:rFonts w:ascii="Calibri" w:hAnsi="Calibri" w:cs="Calibri"/>
                      <w:b/>
                      <w:bCs/>
                      <w:sz w:val="22"/>
                      <w:szCs w:val="22"/>
                      <w:lang w:val="id-ID"/>
                    </w:rPr>
                    <w:t xml:space="preserve">41</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(minggu ke-8) + UAS (minggu ke-16) = 16 minggu. Bobot per Sub-CPMK mencakup penilaian berkala dan ujian.</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Arsitektur Komputer mempelajari struktur mendasar, keterkaitan fungsional, dan prinsip perancangan komponen internal sistem komputer. Pembahasan mencakup evolusi arsitektur Von Neumann, siklus eksekusi instruksi, perancangan ALU dan operasi biner IEEE 754, Instruction Set Architecture (ISA), teknik pipelining dan penanganan hazard, organisasi hierarki memori (Cache, RAM, Virtual Memory), sistem interkoneksi bus, teknik I/O dan Direct Memory Access (DMA), serta perkembangan prosesor multicore dan GPU modern. Mahasiswa dibekali kemampuan menganalisis trade-off antara kinerja perangkat keras dan kompleksitas instruksi perangkat lunak.</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standar APTIKOM 2024: </w:t>
            </w:r>
            <w:r>
              <w:rPr>
                <w:rFonts w:ascii="Calibri" w:hAnsi="Calibri" w:cs="Calibri"/>
                <w:b/>
                <w:bCs/>
                <w:sz w:val="22"/>
                <w:szCs w:val="22"/>
                <w:lang w:val="id-ID"/>
              </w:rPr>
              <w:t xml:space="preserve">BK15 Systems Fundamentals</w:t>
            </w:r>
            <w:r>
              <w:rPr>
                <w:rFonts w:ascii="Calibri" w:hAnsi="Calibri" w:cs="Calibri"/>
                <w:sz w:val="22"/>
                <w:szCs w:val="22"/>
                <w:lang w:val="id-ID"/>
              </w:rPr>
              <w:t xml:space="preserve"> dan </w:t>
            </w:r>
            <w:r>
              <w:rPr>
                <w:rFonts w:ascii="Calibri" w:hAnsi="Calibri" w:cs="Calibri"/>
                <w:b/>
                <w:bCs/>
                <w:sz w:val="22"/>
                <w:szCs w:val="22"/>
                <w:lang w:val="id-ID"/>
              </w:rPr>
              <w:t xml:space="preserve">BK16 Architecture and Organization</w:t>
            </w:r>
            <w:r>
              <w:rPr>
                <w:rFonts w:ascii="Calibri" w:hAnsi="Calibri" w:cs="Calibri"/>
                <w:sz w:val="22"/>
                <w:szCs w:val="22"/>
                <w:lang w:val="id-ID"/>
              </w:rPr>
              <w:t xml:space="preserve">.</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Konsep Dasar &amp; Metrik Kinerja:</w:t>
            </w:r>
            <w:r>
              <w:rPr>
                <w:rFonts w:ascii="Calibri" w:hAnsi="Calibri" w:cs="Calibri"/>
                <w:sz w:val="22"/>
                <w:szCs w:val="22"/>
                <w:lang w:val="id-ID"/>
              </w:rPr>
              <w:t xml:space="preserve"> Arsitektur vs organisasi, arsitektur Von Neumann, hukum Moore, Amdahl’s Law, metrik CPI dan MIPS.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Struktur CPU &amp; Siklus Instruksi:</w:t>
            </w:r>
            <w:r>
              <w:rPr>
                <w:rFonts w:ascii="Calibri" w:hAnsi="Calibri" w:cs="Calibri"/>
                <w:sz w:val="22"/>
                <w:szCs w:val="22"/>
                <w:lang w:val="id-ID"/>
              </w:rPr>
              <w:t xml:space="preserve"> Register internal CPU, siklus fetch-decode-execute, diagram status instruksi, dan mekanisme interupsi.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Arsitektur ALU &amp; Operasi Biner:</w:t>
            </w:r>
            <w:r>
              <w:rPr>
                <w:rFonts w:ascii="Calibri" w:hAnsi="Calibri" w:cs="Calibri"/>
                <w:sz w:val="22"/>
                <w:szCs w:val="22"/>
                <w:lang w:val="id-ID"/>
              </w:rPr>
              <w:t xml:space="preserve"> Representasi integer signed/unsigned, aritmetika floating point IEEE 754, operasi carry-lookahead adder.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Instruction Set Architecture (ISA):</w:t>
            </w:r>
            <w:r>
              <w:rPr>
                <w:rFonts w:ascii="Calibri" w:hAnsi="Calibri" w:cs="Calibri"/>
                <w:sz w:val="22"/>
                <w:szCs w:val="22"/>
                <w:lang w:val="id-ID"/>
              </w:rPr>
              <w:t xml:space="preserve"> Format instruksi, tipe operan, mode pengalamatan (immediate, direct, indirect, register), perbandingan RISC vs CISC.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Pipelining Instruksi CPU:</w:t>
            </w:r>
            <w:r>
              <w:rPr>
                <w:rFonts w:ascii="Calibri" w:hAnsi="Calibri" w:cs="Calibri"/>
                <w:sz w:val="22"/>
                <w:szCs w:val="22"/>
                <w:lang w:val="id-ID"/>
              </w:rPr>
              <w:t xml:space="preserve"> Tahapan pipeline (IF, ID, EX, MEM, WB), pipeline stall, structural hazard, data hazard (data forwarding), control hazard (branch prediction).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Hierarki Memori &amp; Cache:</w:t>
            </w:r>
            <w:r>
              <w:rPr>
                <w:rFonts w:ascii="Calibri" w:hAnsi="Calibri" w:cs="Calibri"/>
                <w:sz w:val="22"/>
                <w:szCs w:val="22"/>
                <w:lang w:val="id-ID"/>
              </w:rPr>
              <w:t xml:space="preserve"> Kebutuhan hierarki memori, prinsip lokalitas (spatial &amp; temporal), pemetaan cache (direct, associative, set-associative), algoritma LRU, cache write policy.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Sistem Bus &amp; Modul I/O:</w:t>
            </w:r>
            <w:r>
              <w:rPr>
                <w:rFonts w:ascii="Calibri" w:hAnsi="Calibri" w:cs="Calibri"/>
                <w:sz w:val="22"/>
                <w:szCs w:val="22"/>
                <w:lang w:val="id-ID"/>
              </w:rPr>
              <w:t xml:space="preserve"> Bus data, address, control, arbitrase bus, teknik I/O (polling, interrupt-driven, DMA controller), PCIe, dan USB bus.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Arsitektur Multicore &amp; Paralel:</w:t>
            </w:r>
            <w:r>
              <w:rPr>
                <w:rFonts w:ascii="Calibri" w:hAnsi="Calibri" w:cs="Calibri"/>
                <w:sz w:val="22"/>
                <w:szCs w:val="22"/>
                <w:lang w:val="id-ID"/>
              </w:rPr>
              <w:t xml:space="preserve"> Taksonomi Flynn (SISD, SIMD, MIMD), arsitektur multicore, GPU compute architecture, dan tren komputasi heterogen.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Stallings, W. (2018). </w:t>
            </w:r>
            <w:r>
              <w:rPr>
                <w:rFonts w:ascii="Calibri" w:hAnsi="Calibri" w:cs="Calibri"/>
                <w:i/>
                <w:sz w:val="22"/>
                <w:szCs w:val="22"/>
                <w:lang w:val="id-ID"/>
              </w:rPr>
              <w:t xml:space="preserve">Computer Organization and Architecture: Designing for Performance</w:t>
            </w:r>
            <w:r>
              <w:rPr>
                <w:rFonts w:ascii="Calibri" w:hAnsi="Calibri" w:cs="Calibri"/>
                <w:sz w:val="22"/>
                <w:szCs w:val="22"/>
                <w:lang w:val="id-ID"/>
              </w:rPr>
              <w:t xml:space="preserve"> (11th ed.). London: Pearson.</w:t>
            </w:r>
          </w:p>
          <w:p>
            <w:pPr>
              <w:spacing w:before="0" w:after="0" w:line="240" w:lineRule="auto"/>
              <w:ind w:left="284" w:hanging="284"/>
            </w:pPr>
            <w:r>
              <w:rPr>
                <w:rFonts w:ascii="Calibri" w:hAnsi="Calibri" w:cs="Calibri"/>
                <w:sz w:val="22"/>
                <w:szCs w:val="22"/>
                <w:lang w:val="id-ID"/>
              </w:rPr>
              <w:t xml:space="preserve">[2] Patterson, D. A., &amp; Hennessy, J. L. (2020). </w:t>
            </w:r>
            <w:r>
              <w:rPr>
                <w:rFonts w:ascii="Calibri" w:hAnsi="Calibri" w:cs="Calibri"/>
                <w:i/>
                <w:sz w:val="22"/>
                <w:szCs w:val="22"/>
                <w:lang w:val="id-ID"/>
              </w:rPr>
              <w:t xml:space="preserve">Computer Organization and Design: The Hardware/Software Interface</w:t>
            </w:r>
            <w:r>
              <w:rPr>
                <w:rFonts w:ascii="Calibri" w:hAnsi="Calibri" w:cs="Calibri"/>
                <w:sz w:val="22"/>
                <w:szCs w:val="22"/>
                <w:lang w:val="id-ID"/>
              </w:rPr>
              <w:t xml:space="preserve"> (6th ed.). Cambridge: Morgan Kaufmann.</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Tanenbaum, A. S., &amp; Austin, T. (2016). </w:t>
            </w:r>
            <w:r>
              <w:rPr>
                <w:rFonts w:ascii="Calibri" w:hAnsi="Calibri" w:cs="Calibri"/>
                <w:i/>
                <w:sz w:val="22"/>
                <w:szCs w:val="22"/>
                <w:lang w:val="id-ID"/>
              </w:rPr>
              <w:t xml:space="preserve">Structured Computer Organization</w:t>
            </w:r>
            <w:r>
              <w:rPr>
                <w:rFonts w:ascii="Calibri" w:hAnsi="Calibri" w:cs="Calibri"/>
                <w:sz w:val="22"/>
                <w:szCs w:val="22"/>
                <w:lang w:val="id-ID"/>
              </w:rPr>
              <w:t xml:space="preserve"> (6th ed.). Boston: Pearson.</w:t>
            </w:r>
          </w:p>
          <w:p>
            <w:pPr>
              <w:spacing w:before="0" w:after="0" w:line="240" w:lineRule="auto"/>
              <w:ind w:left="284" w:hanging="284"/>
            </w:pPr>
            <w:r>
              <w:rPr>
                <w:rFonts w:ascii="Calibri" w:hAnsi="Calibri" w:cs="Calibri"/>
                <w:sz w:val="22"/>
                <w:szCs w:val="22"/>
                <w:lang w:val="id-ID"/>
              </w:rPr>
              <w:t xml:space="preserve">[4] Null, L., &amp; Lobur, J. (2018). </w:t>
            </w:r>
            <w:r>
              <w:rPr>
                <w:rFonts w:ascii="Calibri" w:hAnsi="Calibri" w:cs="Calibri"/>
                <w:i/>
                <w:sz w:val="22"/>
                <w:szCs w:val="22"/>
                <w:lang w:val="id-ID"/>
              </w:rPr>
              <w:t xml:space="preserve">The Essentials of Computer Organization and Architecture</w:t>
            </w:r>
            <w:r>
              <w:rPr>
                <w:rFonts w:ascii="Calibri" w:hAnsi="Calibri" w:cs="Calibri"/>
                <w:sz w:val="22"/>
                <w:szCs w:val="22"/>
                <w:lang w:val="id-ID"/>
              </w:rPr>
              <w:t xml:space="preserve"> (5th ed.). Burlington: Jones &amp; Bartlett Learning.</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Aris Wijayanti,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perbedaan organisasi dan arsitektur komputer, sejarah evolusi arsitektur komputer (Von Neumann), serta metrik pengukuran kinerja komputer [C2, A2] (CPMK031)</w:t>
            </w:r>
          </w:p>
        </w:tc>
        <w:tc>
          <w:tcPr>
            <w:tcW w:w="1701" w:type="dxa"/>
            <w:gridSpan w:val="2"/>
          </w:tcPr>
          <w:p>
            <w:pPr>
              <w:spacing w:before="0" w:after="0" w:line="240" w:lineRule="auto"/>
            </w:pPr>
            <w:r>
              <w:rPr>
                <w:rFonts w:ascii="Calibri" w:hAnsi="Calibri" w:cs="Calibri"/>
                <w:sz w:val="20"/>
                <w:szCs w:val="20"/>
                <w:lang w:val="id-ID"/>
              </w:rPr>
              <w:t xml:space="preserve">1.1 Ketepatan membedakan konsep arsitektur dan organisasi komputer</w:t>
            </w:r>
          </w:p>
          <w:p>
            <w:pPr>
              <w:spacing w:before="0" w:after="0" w:line="240" w:lineRule="auto"/>
            </w:pPr>
            <w:r>
              <w:rPr>
                <w:rFonts w:ascii="Calibri" w:hAnsi="Calibri" w:cs="Calibri"/>
                <w:sz w:val="20"/>
                <w:szCs w:val="20"/>
                <w:lang w:val="id-ID"/>
              </w:rPr>
              <w:t xml:space="preserve">1.2 Kemampuan menghitung metrik performa CPU (CPI, Execution Time, Speedup)</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pemahaman arsitektur</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Diskusi kelas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metrik kinerja</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Soal analisis kinerja CPU berbasis hukum Amdahl</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Evolusi Arsitektur Komputer dan Pengukuran Kinerja Sistem</w:t>
            </w:r>
          </w:p>
          <w:p>
            <w:pPr>
              <w:spacing w:before="0" w:after="0" w:line="240" w:lineRule="auto"/>
            </w:pPr>
            <w:r>
              <w:rPr>
                <w:rFonts w:ascii="Calibri" w:hAnsi="Calibri" w:cs="Calibri"/>
                <w:sz w:val="20"/>
                <w:szCs w:val="20"/>
                <w:lang w:val="id-ID"/>
              </w:rPr>
              <w:t xml:space="preserve">[1] Bab 1–2; [2] Bab 1</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menguraikan siklus instruksi (fetch, decode, execute, interrupt) dan struktur set register pada Central Processing Unit (CPU) [C2, A2] (CPMK031)</w:t>
            </w:r>
          </w:p>
        </w:tc>
        <w:tc>
          <w:tcPr>
            <w:tcW w:w="1701" w:type="dxa"/>
            <w:gridSpan w:val="2"/>
          </w:tcPr>
          <w:p>
            <w:pPr>
              <w:spacing w:before="0" w:after="0" w:line="240" w:lineRule="auto"/>
            </w:pPr>
            <w:r>
              <w:rPr>
                <w:rFonts w:ascii="Calibri" w:hAnsi="Calibri" w:cs="Calibri"/>
                <w:sz w:val="20"/>
                <w:szCs w:val="20"/>
                <w:lang w:val="id-ID"/>
              </w:rPr>
              <w:t xml:space="preserve">2.1 Ketepatan merinci alur eksekusi siklus instruksi pada register CPU</w:t>
            </w:r>
          </w:p>
          <w:p>
            <w:pPr>
              <w:spacing w:before="0" w:after="0" w:line="240" w:lineRule="auto"/>
            </w:pPr>
            <w:r>
              <w:rPr>
                <w:rFonts w:ascii="Calibri" w:hAnsi="Calibri" w:cs="Calibri"/>
                <w:sz w:val="20"/>
                <w:szCs w:val="20"/>
                <w:lang w:val="id-ID"/>
              </w:rPr>
              <w:t xml:space="preserve">2.2 Kemampuan menelusuri penanganan interupsi perangkat keras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diagram alir CPU</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Simulasi siklus instruksi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demonstrasi visual</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sz w:val="20"/>
                <w:szCs w:val="20"/>
                <w:lang w:val="id-ID"/>
              </w:rPr>
              <w:t xml:space="preserve">Mandiri: Latihan penelusuran status register pada tiap fase fetch-execute</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Organisasi CPU, Set Register, dan Siklus Eksekusi Instruksi</w:t>
            </w:r>
          </w:p>
          <w:p>
            <w:pPr>
              <w:spacing w:before="0" w:after="0" w:line="240" w:lineRule="auto"/>
            </w:pPr>
            <w:r>
              <w:rPr>
                <w:rFonts w:ascii="Calibri" w:hAnsi="Calibri" w:cs="Calibri"/>
                <w:sz w:val="20"/>
                <w:szCs w:val="20"/>
                <w:lang w:val="id-ID"/>
              </w:rPr>
              <w:t xml:space="preserve">[1] Bab 14; [2] Bab 4</w:t>
            </w:r>
          </w:p>
        </w:tc>
        <w:tc>
          <w:tcPr>
            <w:tcW w:w="1134" w:type="dxa"/>
          </w:tcPr>
          <w:p>
            <w:pPr>
              <w:spacing w:before="0" w:after="0" w:line="240" w:lineRule="auto"/>
              <w:jc w:val="center"/>
            </w:pPr>
            <w:r>
              <w:rPr>
                <w:rFonts w:ascii="Calibri" w:hAnsi="Calibri" w:cs="Calibri"/>
                <w:b/>
                <w:bCs/>
                <w:sz w:val="20"/>
                <w:szCs w:val="20"/>
                <w:lang w:val="id-ID"/>
              </w:rPr>
              <w:t xml:space="preserve">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menganalisis arsitektur Arithmetic and Logic Unit (ALU), representasi data fixed-point/floating-point (IEEE 754), dan operasi aritmetika biner [C4, A2] (CPMK031)</w:t>
            </w:r>
          </w:p>
        </w:tc>
        <w:tc>
          <w:tcPr>
            <w:tcW w:w="1701" w:type="dxa"/>
            <w:gridSpan w:val="2"/>
          </w:tcPr>
          <w:p>
            <w:pPr>
              <w:spacing w:before="0" w:after="0" w:line="240" w:lineRule="auto"/>
            </w:pPr>
            <w:r>
              <w:rPr>
                <w:rFonts w:ascii="Calibri" w:hAnsi="Calibri" w:cs="Calibri"/>
                <w:sz w:val="20"/>
                <w:szCs w:val="20"/>
                <w:lang w:val="id-ID"/>
              </w:rPr>
              <w:t xml:space="preserve">3.1 Ketepatan konversi dan operasi aritmetika floating point IEEE 754</w:t>
            </w:r>
          </w:p>
          <w:p>
            <w:pPr>
              <w:spacing w:before="0" w:after="0" w:line="240" w:lineRule="auto"/>
            </w:pPr>
            <w:r>
              <w:rPr>
                <w:rFonts w:ascii="Calibri" w:hAnsi="Calibri" w:cs="Calibri"/>
                <w:sz w:val="20"/>
                <w:szCs w:val="20"/>
                <w:lang w:val="id-ID"/>
              </w:rPr>
              <w:t xml:space="preserve">3.2 Kemampuan menganalisis rangkaian logika ALU pada operasi biner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akurasi perhitungan aritmetika</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Latihan soal terbimbing</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tutorial latihan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Collaborative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Analisis representasi floating point IEEE 754 dan desain adder</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Arsitektur Arithmetic Logic Unit (ALU) dan Format Data Biner</w:t>
            </w:r>
          </w:p>
          <w:p>
            <w:pPr>
              <w:spacing w:before="0" w:after="0" w:line="240" w:lineRule="auto"/>
            </w:pPr>
            <w:r>
              <w:rPr>
                <w:rFonts w:ascii="Calibri" w:hAnsi="Calibri" w:cs="Calibri"/>
                <w:sz w:val="20"/>
                <w:szCs w:val="20"/>
                <w:lang w:val="id-ID"/>
              </w:rPr>
              <w:t xml:space="preserve">[1] Bab 9–10; [3] Bab 3</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menjelaskan arsitektur Instruction Set Architecture (ISA), mode pengalamatan (addressing modes), serta perbandingan karakteristik RISC vs CISC [C2, A2] (CPMK031)</w:t>
            </w:r>
          </w:p>
        </w:tc>
        <w:tc>
          <w:tcPr>
            <w:tcW w:w="1701" w:type="dxa"/>
            <w:gridSpan w:val="2"/>
          </w:tcPr>
          <w:p>
            <w:pPr>
              <w:spacing w:before="0" w:after="0" w:line="240" w:lineRule="auto"/>
            </w:pPr>
            <w:r>
              <w:rPr>
                <w:rFonts w:ascii="Calibri" w:hAnsi="Calibri" w:cs="Calibri"/>
                <w:sz w:val="20"/>
                <w:szCs w:val="20"/>
                <w:lang w:val="id-ID"/>
              </w:rPr>
              <w:t xml:space="preserve">4.1 Ketepatan menganalisis keunggulan format instruksi RISC vs CISC</w:t>
            </w:r>
          </w:p>
          <w:p>
            <w:pPr>
              <w:spacing w:before="0" w:after="0" w:line="240" w:lineRule="auto"/>
            </w:pPr>
            <w:r>
              <w:rPr>
                <w:rFonts w:ascii="Calibri" w:hAnsi="Calibri" w:cs="Calibri"/>
                <w:sz w:val="20"/>
                <w:szCs w:val="20"/>
                <w:lang w:val="id-ID"/>
              </w:rPr>
              <w:t xml:space="preserve">4.2 Kemampuan menentukan mode pengalamatan memori yang efektif</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analisis komparasi ISA</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Diskusi studi kasus arsitektur ARM vs x86</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persiapan UTS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Case-Based Learning (CBL)</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sz w:val="20"/>
                <w:szCs w:val="20"/>
                <w:lang w:val="id-ID"/>
              </w:rPr>
              <w:t xml:space="preserve">Mandiri: Resume perbandingan format instruksi MIPS/ARM dan x86</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Instruction Set Architecture (ISA) dan Mode Pengalamatan</w:t>
            </w:r>
          </w:p>
          <w:p>
            <w:pPr>
              <w:spacing w:before="0" w:after="0" w:line="240" w:lineRule="auto"/>
            </w:pPr>
            <w:r>
              <w:rPr>
                <w:rFonts w:ascii="Calibri" w:hAnsi="Calibri" w:cs="Calibri"/>
                <w:sz w:val="20"/>
                <w:szCs w:val="20"/>
                <w:lang w:val="id-ID"/>
              </w:rPr>
              <w:t xml:space="preserve">[1] Bab 12–13; [2] Bab 2</w:t>
            </w:r>
          </w:p>
        </w:tc>
        <w:tc>
          <w:tcPr>
            <w:tcW w:w="1134" w:type="dxa"/>
          </w:tcPr>
          <w:p>
            <w:pPr>
              <w:spacing w:before="0" w:after="0" w:line="240" w:lineRule="auto"/>
              <w:jc w:val="center"/>
            </w:pPr>
            <w:r>
              <w:rPr>
                <w:rFonts w:ascii="Calibri" w:hAnsi="Calibri" w:cs="Calibri"/>
                <w:b/>
                <w:bCs/>
                <w:sz w:val="20"/>
                <w:szCs w:val="20"/>
                <w:lang w:val="id-ID"/>
              </w:rPr>
              <w:t xml:space="preserve">4</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 (UTS)</w:t>
            </w:r>
            <w:r>
              <w:rPr>
                <w:rFonts w:ascii="Calibri" w:hAnsi="Calibri" w:cs="Calibri"/>
                <w:sz w:val="20"/>
                <w:szCs w:val="20"/>
                <w:lang w:val="id-ID"/>
              </w:rPr>
              <w:t xml:space="preserve"> – Ujian tertulis uraian dan analisis teknis Sub-CPMK1 s.d. Sub-CPMK4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menganalisis konsep pipelining instruksi, hazard pipelining (structural, data, control hazard), dan strategi penanganannya [C4, A3] (CPMK051)</w:t>
            </w:r>
          </w:p>
        </w:tc>
        <w:tc>
          <w:tcPr>
            <w:tcW w:w="1701" w:type="dxa"/>
            <w:gridSpan w:val="2"/>
          </w:tcPr>
          <w:p>
            <w:pPr>
              <w:spacing w:before="0" w:after="0" w:line="240" w:lineRule="auto"/>
            </w:pPr>
            <w:r>
              <w:rPr>
                <w:rFonts w:ascii="Calibri" w:hAnsi="Calibri" w:cs="Calibri"/>
                <w:sz w:val="20"/>
                <w:szCs w:val="20"/>
                <w:lang w:val="id-ID"/>
              </w:rPr>
              <w:t xml:space="preserve">5.1 Ketepatan menganalisis alur eksekusi pipeline 5 tahap</w:t>
            </w:r>
          </w:p>
          <w:p>
            <w:pPr>
              <w:spacing w:before="0" w:after="0" w:line="240" w:lineRule="auto"/>
            </w:pPr>
            <w:r>
              <w:rPr>
                <w:rFonts w:ascii="Calibri" w:hAnsi="Calibri" w:cs="Calibri"/>
                <w:sz w:val="20"/>
                <w:szCs w:val="20"/>
                <w:lang w:val="id-ID"/>
              </w:rPr>
              <w:t xml:space="preserve">5.2 Kemampuan merancang solusi mitigasi pipeline hazard (forwarding &amp; branch prediction)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timing diagram pipeline</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Simulasi MIPS pipeline</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simulasi software</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Analisis timing diagram pipeline dan deteksi hazard pada cuplikan kode assembly</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Arsitektur Pipelining CPU dan Strategi Penanganan Hazard</w:t>
            </w:r>
          </w:p>
          <w:p>
            <w:pPr>
              <w:spacing w:before="0" w:after="0" w:line="240" w:lineRule="auto"/>
            </w:pPr>
            <w:r>
              <w:rPr>
                <w:rFonts w:ascii="Calibri" w:hAnsi="Calibri" w:cs="Calibri"/>
                <w:sz w:val="20"/>
                <w:szCs w:val="20"/>
                <w:lang w:val="id-ID"/>
              </w:rPr>
              <w:t xml:space="preserve">[1] Bab 14; [2] Bab 4</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mengevaluasi hierarki memori komputer, prinsip locality of reference, organisasi cache memory (mapping, replacement policy), dan memori virtual [C5, A3] (CPMK051)</w:t>
            </w:r>
          </w:p>
        </w:tc>
        <w:tc>
          <w:tcPr>
            <w:tcW w:w="1701" w:type="dxa"/>
            <w:gridSpan w:val="2"/>
          </w:tcPr>
          <w:p>
            <w:pPr>
              <w:spacing w:before="0" w:after="0" w:line="240" w:lineRule="auto"/>
            </w:pPr>
            <w:r>
              <w:rPr>
                <w:rFonts w:ascii="Calibri" w:hAnsi="Calibri" w:cs="Calibri"/>
                <w:sz w:val="20"/>
                <w:szCs w:val="20"/>
                <w:lang w:val="id-ID"/>
              </w:rPr>
              <w:t xml:space="preserve">6.1 Ketepatan menghitung hit ratio, miss penalty, dan average memory access time (AMAT)</w:t>
            </w:r>
          </w:p>
          <w:p>
            <w:pPr>
              <w:spacing w:before="0" w:after="0" w:line="240" w:lineRule="auto"/>
            </w:pPr>
            <w:r>
              <w:rPr>
                <w:rFonts w:ascii="Calibri" w:hAnsi="Calibri" w:cs="Calibri"/>
                <w:sz w:val="20"/>
                <w:szCs w:val="20"/>
                <w:lang w:val="id-ID"/>
              </w:rPr>
              <w:t xml:space="preserve">6.2 Kemampuan menganalisis skema mapping direct vs set-associative cache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kalkulasi memori cache</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Eksplorasi simulator cache</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sz w:val="20"/>
                <w:szCs w:val="20"/>
                <w:lang w:val="id-ID"/>
              </w:rPr>
              <w:t xml:space="preserve">Mandiri: Latihan perhitungan AMAT dan penelusuran alamat cache tag/index</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Organisasi Hierarki Memori, Cache Memory, dan Virtual Memory</w:t>
            </w:r>
          </w:p>
          <w:p>
            <w:pPr>
              <w:spacing w:before="0" w:after="0" w:line="240" w:lineRule="auto"/>
            </w:pPr>
            <w:r>
              <w:rPr>
                <w:rFonts w:ascii="Calibri" w:hAnsi="Calibri" w:cs="Calibri"/>
                <w:sz w:val="20"/>
                <w:szCs w:val="20"/>
                <w:lang w:val="id-ID"/>
              </w:rPr>
              <w:t xml:space="preserve">[1] Bab 4–5; [2] Bab 5</w:t>
            </w:r>
          </w:p>
        </w:tc>
        <w:tc>
          <w:tcPr>
            <w:tcW w:w="1134" w:type="dxa"/>
          </w:tcPr>
          <w:p>
            <w:pPr>
              <w:spacing w:before="0" w:after="0" w:line="240" w:lineRule="auto"/>
              <w:jc w:val="center"/>
            </w:pPr>
            <w:r>
              <w:rPr>
                <w:rFonts w:ascii="Calibri" w:hAnsi="Calibri" w:cs="Calibri"/>
                <w:b/>
                <w:bCs/>
                <w:sz w:val="20"/>
                <w:szCs w:val="20"/>
                <w:lang w:val="id-ID"/>
              </w:rPr>
              <w:t xml:space="preserve">6</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13–14</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menguraikan struktur interkoneksi bus (data, address, control bus) serta teknik modul I/O (programmed I/O, interrupt-driven I/O, dan Direct Memory Access / DMA) [C3, A2] (CPMK032)</w:t>
            </w:r>
          </w:p>
        </w:tc>
        <w:tc>
          <w:tcPr>
            <w:tcW w:w="1701" w:type="dxa"/>
            <w:gridSpan w:val="2"/>
          </w:tcPr>
          <w:p>
            <w:pPr>
              <w:spacing w:before="0" w:after="0" w:line="240" w:lineRule="auto"/>
            </w:pPr>
            <w:r>
              <w:rPr>
                <w:rFonts w:ascii="Calibri" w:hAnsi="Calibri" w:cs="Calibri"/>
                <w:sz w:val="20"/>
                <w:szCs w:val="20"/>
                <w:lang w:val="id-ID"/>
              </w:rPr>
              <w:t xml:space="preserve">7.1 Ketepatan menguraikan mekanisme Direct Memory Access (DMA)</w:t>
            </w:r>
          </w:p>
          <w:p>
            <w:pPr>
              <w:spacing w:before="0" w:after="0" w:line="240" w:lineRule="auto"/>
            </w:pPr>
            <w:r>
              <w:rPr>
                <w:rFonts w:ascii="Calibri" w:hAnsi="Calibri" w:cs="Calibri"/>
                <w:sz w:val="20"/>
                <w:szCs w:val="20"/>
                <w:lang w:val="id-ID"/>
              </w:rPr>
              <w:t xml:space="preserve">7.2 Kemampuan menganalisis arbitrase bus dan manajemen interupsi perangkat I/O</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arsitektur I/O</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Diskusi arsitektur bus PCIe/USB</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Small Group Discussion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sz w:val="20"/>
                <w:szCs w:val="20"/>
                <w:lang w:val="id-ID"/>
              </w:rPr>
              <w:t xml:space="preserve">Mandiri: Resume cara kerja DMA Controller dalam transfer blok data memori</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Sistem Interkoneksi Bus dan Arsitektur Modul Input/Output</w:t>
            </w:r>
          </w:p>
          <w:p>
            <w:pPr>
              <w:spacing w:before="0" w:after="0" w:line="240" w:lineRule="auto"/>
            </w:pPr>
            <w:r>
              <w:rPr>
                <w:rFonts w:ascii="Calibri" w:hAnsi="Calibri" w:cs="Calibri"/>
                <w:sz w:val="20"/>
                <w:szCs w:val="20"/>
                <w:lang w:val="id-ID"/>
              </w:rPr>
              <w:t xml:space="preserve">[1] Bab 3 &amp; 7; [3] Bab 5</w:t>
            </w:r>
          </w:p>
        </w:tc>
        <w:tc>
          <w:tcPr>
            <w:tcW w:w="1134" w:type="dxa"/>
          </w:tcPr>
          <w:p>
            <w:pPr>
              <w:spacing w:before="0" w:after="0" w:line="240" w:lineRule="auto"/>
              <w:jc w:val="center"/>
            </w:pPr>
            <w:r>
              <w:rPr>
                <w:rFonts w:ascii="Calibri" w:hAnsi="Calibri" w:cs="Calibri"/>
                <w:b/>
                <w:bCs/>
                <w:sz w:val="20"/>
                <w:szCs w:val="20"/>
                <w:lang w:val="id-ID"/>
              </w:rPr>
              <w:t xml:space="preserve">1</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menganalisis perkembangan arsitektur prosesor paralel, multicore processor, Graphics Processing Unit (GPU), dan arsitektur komputasi modern [C4, A3] (CPMK051)</w:t>
            </w:r>
          </w:p>
        </w:tc>
        <w:tc>
          <w:tcPr>
            <w:tcW w:w="1701" w:type="dxa"/>
            <w:gridSpan w:val="2"/>
          </w:tcPr>
          <w:p>
            <w:pPr>
              <w:spacing w:before="0" w:after="0" w:line="240" w:lineRule="auto"/>
            </w:pPr>
            <w:r>
              <w:rPr>
                <w:rFonts w:ascii="Calibri" w:hAnsi="Calibri" w:cs="Calibri"/>
                <w:sz w:val="20"/>
                <w:szCs w:val="20"/>
                <w:lang w:val="id-ID"/>
              </w:rPr>
              <w:t xml:space="preserve">8.1 Ketepatan menjelaskan arsitektur multicore dan pemrosesan paralel GPU</w:t>
            </w:r>
          </w:p>
          <w:p>
            <w:pPr>
              <w:spacing w:before="0" w:after="0" w:line="240" w:lineRule="auto"/>
            </w:pPr>
            <w:r>
              <w:rPr>
                <w:rFonts w:ascii="Calibri" w:hAnsi="Calibri" w:cs="Calibri"/>
                <w:sz w:val="20"/>
                <w:szCs w:val="20"/>
                <w:lang w:val="id-ID"/>
              </w:rPr>
              <w:t xml:space="preserve">8.2 Kemampuan menyajikan laporan telaah perkembangan arsitektur prosesor mutakhir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presentasi arsitektur mutakhir</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Seminar kelompok</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Seminar kelas</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Project-Based Learning (PjBL)</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sz w:val="20"/>
                <w:szCs w:val="20"/>
                <w:lang w:val="id-ID"/>
              </w:rPr>
              <w:t xml:space="preserve">Mandiri: Finalisasi laporan kajian arsitektur GPU/TPU modern</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Arsitektur Multicore, GPU Computing, dan Perkembangan Prosesor Mutakhir</w:t>
            </w:r>
          </w:p>
          <w:p>
            <w:pPr>
              <w:spacing w:before="0" w:after="0" w:line="240" w:lineRule="auto"/>
            </w:pPr>
            <w:r>
              <w:rPr>
                <w:rFonts w:ascii="Calibri" w:hAnsi="Calibri" w:cs="Calibri"/>
                <w:sz w:val="20"/>
                <w:szCs w:val="20"/>
                <w:lang w:val="id-ID"/>
              </w:rPr>
              <w:t xml:space="preserve">[1] Bab 18; [2] Bab 6</w:t>
            </w:r>
          </w:p>
        </w:tc>
        <w:tc>
          <w:tcPr>
            <w:tcW w:w="1134" w:type="dxa"/>
          </w:tcPr>
          <w:p>
            <w:pPr>
              <w:spacing w:before="0" w:after="0" w:line="240" w:lineRule="auto"/>
              <w:jc w:val="center"/>
            </w:pPr>
            <w:r>
              <w:rPr>
                <w:rFonts w:ascii="Calibri" w:hAnsi="Calibri" w:cs="Calibri"/>
                <w:b/>
                <w:bCs/>
                <w:sz w:val="20"/>
                <w:szCs w:val="20"/>
                <w:lang w:val="id-ID"/>
              </w:rPr>
              <w:t xml:space="preserve">1</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 (UAS)</w:t>
            </w:r>
            <w:r>
              <w:rPr>
                <w:rFonts w:ascii="Calibri" w:hAnsi="Calibri" w:cs="Calibri"/>
                <w:sz w:val="20"/>
                <w:szCs w:val="20"/>
                <w:lang w:val="id-ID"/>
              </w:rPr>
              <w:t xml:space="preserve"> – Ujian komprehensif Sub-CPMK5 s.d. Sub-CPMK8  </w:t>
            </w:r>
            <w:r>
              <w:rPr>
                <w:rFonts w:ascii="Calibri" w:hAnsi="Calibri" w:cs="Calibri"/>
                <w:color w:val="0432FF"/>
                <w:sz w:val="20"/>
                <w:szCs w:val="20"/>
                <w:lang w:val="id-ID"/>
              </w:rPr>
              <w:t xml:space="preserve">[PB: 1×(3×50")]</w:t>
            </w:r>
          </w:p>
          <w:p>
            <w:pPr>
              <w:spacing w:before="0" w:after="0" w:line="240" w:lineRule="auto"/>
            </w:pPr>
            <w:r>
              <w:rPr>
                <w:rFonts w:ascii="Calibri" w:hAnsi="Calibri" w:cs="Calibri"/>
                <w:sz w:val="20"/>
                <w:szCs w:val="20"/>
                <w:lang w:val="id-ID"/>
              </w:rPr>
              <w:t xml:space="preserve">*Ujian tertulis komprehensif dan evaluasi portofolio tugas</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kontrak perkuliahan dan mekanisme asesmen disampaikan di awal perkuliahan;</w:t>
      </w:r>
    </w:p>
    <w:p>
      <w:pPr>
        <w:spacing w:before="0" w:after="0" w:line="240" w:lineRule="auto"/>
        <w:ind w:left="720" w:hanging="360"/>
      </w:pPr>
      <w:r>
        <w:rPr>
          <w:rFonts w:ascii="Cambria" w:hAnsi="Cambria" w:cs="Cambria"/>
          <w:sz w:val="22"/>
          <w:szCs w:val="22"/>
          <w:lang w:val="id-ID"/>
        </w:rPr>
        <w:t xml:space="preserve">b.	komposisi penilaian: Partisipasi Harian (10%), Tugas Terstruktur (20%), UTS (30%), dan UAS (40%);</w:t>
      </w:r>
    </w:p>
    <w:p>
      <w:pPr>
        <w:spacing w:before="0" w:after="0" w:line="240" w:lineRule="auto"/>
        <w:ind w:left="720" w:hanging="360"/>
      </w:pPr>
      <w:r>
        <w:rPr>
          <w:rFonts w:ascii="Cambria" w:hAnsi="Cambria" w:cs="Cambria"/>
          <w:sz w:val="22"/>
          <w:szCs w:val="22"/>
          <w:lang w:val="id-ID"/>
        </w:rPr>
        <w:t xml:space="preserve">c.	umpan balik tugas diberikan guna mengoreksi kelemahan analisis teknis mahasiswa;</w:t>
      </w:r>
    </w:p>
    <w:p>
      <w:pPr>
        <w:spacing w:before="0" w:after="0" w:line="240" w:lineRule="auto"/>
        <w:ind w:left="720" w:hanging="360"/>
      </w:pPr>
      <w:r>
        <w:rPr>
          <w:rFonts w:ascii="Cambria" w:hAnsi="Cambria" w:cs="Cambria"/>
          <w:sz w:val="22"/>
          <w:szCs w:val="22"/>
          <w:lang w:val="id-ID"/>
        </w:rPr>
        <w:t xml:space="preserve">d.	konversi nilai akhir mengacu pada peraturan akademik UNIROW;</w:t>
      </w:r>
    </w:p>
    <w:p>
      <w:pPr>
        <w:spacing w:before="0" w:after="0" w:line="240" w:lineRule="auto"/>
        <w:ind w:left="720" w:hanging="360"/>
      </w:pPr>
      <w:r>
        <w:rPr>
          <w:rFonts w:ascii="Cambria" w:hAnsi="Cambria" w:cs="Cambria"/>
          <w:sz w:val="22"/>
          <w:szCs w:val="22"/>
          <w:lang w:val="id-ID"/>
        </w:rPr>
        <w:t xml:space="preserve">e.	nilai akhir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(Ujian Tertulis UTS dan UAS) serta teknik non-tes (evaluasi tugas mandiri, penelusuran simulator pipeline, dan laporan kajian komparasi prosesor). Instrumen menggunakan soal uraian matematis/diagramatik dan rubrik berskala 1–5.</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akuntabel, dan transparan yang menguji penalaran arsitektur hardware komputer.</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5</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4</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17</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r>
              <w:rPr>
                <w:rFonts w:ascii="Calibri" w:hAnsi="Calibri" w:cs="Calibri"/>
                <w:sz w:val="18"/>
                <w:szCs w:val="18"/>
                <w:lang w:val="id-ID"/>
              </w:rPr>
              <w:t xml:space="preserve">16</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11</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11</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7</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8</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per CPL: CPL03 = 59%, CPL05 = 41%. Nilai Akhir MK = Σ (nilai komponen × bobot komponen) / 100.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terstruktur dirancang untuk mempertajam pemahaman kalkulasi kinerja perangkat keras, alur instruksi, dan arsitektur memori: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Kalkulasi Kinerja CPU &amp; Siklus Instruksi</w:t>
            </w:r>
          </w:p>
        </w:tc>
        <w:tc>
          <w:tcPr>
            <w:tcW w:w="1500" w:type="dxa"/>
          </w:tcPr>
          <w:p>
            <w:pPr>
              <w:spacing w:before="0" w:after="0" w:line="240" w:lineRule="auto"/>
            </w:pPr>
            <w:r>
              <w:rPr>
                <w:rFonts w:ascii="Calibri" w:hAnsi="Calibri" w:cs="Calibri"/>
                <w:sz w:val="18"/>
                <w:szCs w:val="18"/>
                <w:lang w:val="id-ID"/>
              </w:rPr>
              <w:t xml:space="preserve">Sub-CPMK1, Sub-CPMK2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Minggu 1–3</w:t>
            </w:r>
          </w:p>
        </w:tc>
        <w:tc>
          <w:tcPr>
            <w:tcW w:w="3340" w:type="dxa"/>
          </w:tcPr>
          <w:p>
            <w:pPr>
              <w:spacing w:before="0" w:after="0" w:line="240" w:lineRule="auto"/>
            </w:pPr>
            <w:r>
              <w:rPr>
                <w:rFonts w:ascii="Calibri" w:hAnsi="Calibri" w:cs="Calibri"/>
                <w:sz w:val="18"/>
                <w:szCs w:val="18"/>
                <w:lang w:val="id-ID"/>
              </w:rPr>
              <w:t xml:space="preserve">A. Menghitung CPI rata-rata dan speedup berdasarkan hukum Amdahl.</w:t>
            </w:r>
          </w:p>
          <w:p>
            <w:pPr>
              <w:spacing w:before="0" w:after="0" w:line="240" w:lineRule="auto"/>
            </w:pPr>
            <w:r>
              <w:rPr>
                <w:rFonts w:ascii="Calibri" w:hAnsi="Calibri" w:cs="Calibri"/>
                <w:sz w:val="18"/>
                <w:szCs w:val="18"/>
                <w:lang w:val="id-ID"/>
              </w:rPr>
              <w:t xml:space="preserve">B. Menggambar diagram siklus instruksi lengkap dengan register CPU.</w:t>
            </w:r>
          </w:p>
          <w:p>
            <w:pPr>
              <w:spacing w:before="0" w:after="0" w:line="240" w:lineRule="auto"/>
            </w:pPr>
            <w:r>
              <w:rPr>
                <w:rFonts w:ascii="Calibri" w:hAnsi="Calibri" w:cs="Calibri"/>
                <w:sz w:val="18"/>
                <w:szCs w:val="18"/>
                <w:lang w:val="id-ID"/>
              </w:rPr>
              <w:t xml:space="preserve">Luaran: Laporan penyelesaian soal perhitungan teknis.</w:t>
            </w:r>
          </w:p>
        </w:tc>
        <w:tc>
          <w:tcPr>
            <w:tcW w:w="2320" w:type="dxa"/>
          </w:tcPr>
          <w:p>
            <w:pPr>
              <w:spacing w:before="0" w:after="0" w:line="240" w:lineRule="auto"/>
              <w:ind w:left="284" w:hanging="284"/>
            </w:pPr>
            <w:r>
              <w:rPr>
                <w:rFonts w:ascii="Calibri" w:hAnsi="Calibri" w:cs="Calibri"/>
                <w:sz w:val="18"/>
                <w:szCs w:val="18"/>
                <w:lang w:val="id-ID"/>
              </w:rPr>
              <w:t xml:space="preserve">1. Akurasi kalkulasi matematis</w:t>
            </w:r>
          </w:p>
          <w:p>
            <w:pPr>
              <w:spacing w:before="0" w:after="0" w:line="240" w:lineRule="auto"/>
              <w:ind w:left="284" w:hanging="284"/>
            </w:pPr>
            <w:r>
              <w:rPr>
                <w:rFonts w:ascii="Calibri" w:hAnsi="Calibri" w:cs="Calibri"/>
                <w:sz w:val="18"/>
                <w:szCs w:val="18"/>
                <w:lang w:val="id-ID"/>
              </w:rPr>
              <w:t xml:space="preserve">2. Ketepatan diagram alur siklus</w:t>
            </w:r>
          </w:p>
          <w:p>
            <w:pPr>
              <w:spacing w:before="0" w:after="0" w:line="240" w:lineRule="auto"/>
              <w:ind w:left="284" w:hanging="284"/>
            </w:pPr>
            <w:r>
              <w:rPr>
                <w:rFonts w:ascii="Calibri" w:hAnsi="Calibri" w:cs="Calibri"/>
                <w:sz w:val="18"/>
                <w:szCs w:val="18"/>
                <w:lang w:val="id-ID"/>
              </w:rPr>
              <w:t xml:space="preserve">3. Kerapian penyajian</w:t>
            </w:r>
          </w:p>
        </w:tc>
        <w:tc>
          <w:tcPr>
            <w:tcW w:w="700" w:type="dxa"/>
          </w:tcPr>
          <w:p>
            <w:pPr>
              <w:spacing w:before="0" w:after="0" w:line="240" w:lineRule="auto"/>
              <w:jc w:val="center"/>
            </w:pPr>
            <w:r>
              <w:rPr>
                <w:rFonts w:ascii="Calibri" w:hAnsi="Calibri" w:cs="Calibri"/>
                <w:sz w:val="18"/>
                <w:szCs w:val="18"/>
                <w:lang w:val="id-ID"/>
              </w:rPr>
              <w:t xml:space="preserve">5%</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Representasi IEEE 754 &amp; Komparasi ISA</w:t>
            </w:r>
          </w:p>
        </w:tc>
        <w:tc>
          <w:tcPr>
            <w:tcW w:w="1500" w:type="dxa"/>
          </w:tcPr>
          <w:p>
            <w:pPr>
              <w:spacing w:before="0" w:after="0" w:line="240" w:lineRule="auto"/>
            </w:pPr>
            <w:r>
              <w:rPr>
                <w:rFonts w:ascii="Calibri" w:hAnsi="Calibri" w:cs="Calibri"/>
                <w:sz w:val="18"/>
                <w:szCs w:val="18"/>
                <w:lang w:val="id-ID"/>
              </w:rPr>
              <w:t xml:space="preserve">Sub-CPMK3, Sub-CPMK4</w:t>
            </w:r>
          </w:p>
          <w:p>
            <w:pPr>
              <w:spacing w:before="0" w:after="0" w:line="240" w:lineRule="auto"/>
            </w:pPr>
            <w:r>
              <w:rPr>
                <w:rFonts w:ascii="Calibri" w:hAnsi="Calibri" w:cs="Calibri"/>
                <w:sz w:val="18"/>
                <w:szCs w:val="18"/>
                <w:lang w:val="id-ID"/>
              </w:rPr>
              <w:t xml:space="preserve">Kelompok (3 mhs)</w:t>
            </w:r>
          </w:p>
          <w:p>
            <w:pPr>
              <w:spacing w:before="0" w:after="0" w:line="240" w:lineRule="auto"/>
            </w:pPr>
            <w:r>
              <w:rPr>
                <w:rFonts w:ascii="Calibri" w:hAnsi="Calibri" w:cs="Calibri"/>
                <w:sz w:val="18"/>
                <w:szCs w:val="18"/>
                <w:lang w:val="id-ID"/>
              </w:rPr>
              <w:t xml:space="preserve">Minggu 5–7</w:t>
            </w:r>
          </w:p>
        </w:tc>
        <w:tc>
          <w:tcPr>
            <w:tcW w:w="3340" w:type="dxa"/>
          </w:tcPr>
          <w:p>
            <w:pPr>
              <w:spacing w:before="0" w:after="0" w:line="240" w:lineRule="auto"/>
            </w:pPr>
            <w:r>
              <w:rPr>
                <w:rFonts w:ascii="Calibri" w:hAnsi="Calibri" w:cs="Calibri"/>
                <w:sz w:val="18"/>
                <w:szCs w:val="18"/>
                <w:lang w:val="id-ID"/>
              </w:rPr>
              <w:t xml:space="preserve">A. Mengonversi bilangan desimal pecahan ke format IEEE 754 32-bit (single precision).</w:t>
            </w:r>
          </w:p>
          <w:p>
            <w:pPr>
              <w:spacing w:before="0" w:after="0" w:line="240" w:lineRule="auto"/>
            </w:pPr>
            <w:r>
              <w:rPr>
                <w:rFonts w:ascii="Calibri" w:hAnsi="Calibri" w:cs="Calibri"/>
                <w:sz w:val="18"/>
                <w:szCs w:val="18"/>
                <w:lang w:val="id-ID"/>
              </w:rPr>
              <w:t xml:space="preserve">B. Membandingkan struktur format instruksi MIPS (RISC) vs x86 (CISC).</w:t>
            </w:r>
          </w:p>
          <w:p>
            <w:pPr>
              <w:spacing w:before="0" w:after="0" w:line="240" w:lineRule="auto"/>
            </w:pPr>
            <w:r>
              <w:rPr>
                <w:rFonts w:ascii="Calibri" w:hAnsi="Calibri" w:cs="Calibri"/>
                <w:sz w:val="18"/>
                <w:szCs w:val="18"/>
                <w:lang w:val="id-ID"/>
              </w:rPr>
              <w:t xml:space="preserve">Luaran: Makalah analisis komparatif ISA.</w:t>
            </w:r>
          </w:p>
        </w:tc>
        <w:tc>
          <w:tcPr>
            <w:tcW w:w="2320" w:type="dxa"/>
          </w:tcPr>
          <w:p>
            <w:pPr>
              <w:spacing w:before="0" w:after="0" w:line="240" w:lineRule="auto"/>
              <w:ind w:left="284" w:hanging="284"/>
            </w:pPr>
            <w:r>
              <w:rPr>
                <w:rFonts w:ascii="Calibri" w:hAnsi="Calibri" w:cs="Calibri"/>
                <w:sz w:val="18"/>
                <w:szCs w:val="18"/>
                <w:lang w:val="id-ID"/>
              </w:rPr>
              <w:t xml:space="preserve">1. Ketepatan format biner IEEE 754</w:t>
            </w:r>
          </w:p>
          <w:p>
            <w:pPr>
              <w:spacing w:before="0" w:after="0" w:line="240" w:lineRule="auto"/>
              <w:ind w:left="284" w:hanging="284"/>
            </w:pPr>
            <w:r>
              <w:rPr>
                <w:rFonts w:ascii="Calibri" w:hAnsi="Calibri" w:cs="Calibri"/>
                <w:sz w:val="18"/>
                <w:szCs w:val="18"/>
                <w:lang w:val="id-ID"/>
              </w:rPr>
              <w:t xml:space="preserve">2. Kedalaman komparasi arsitektur ISA</w:t>
            </w:r>
          </w:p>
          <w:p>
            <w:pPr>
              <w:spacing w:before="0" w:after="0" w:line="240" w:lineRule="auto"/>
              <w:ind w:left="284" w:hanging="284"/>
            </w:pPr>
            <w:r>
              <w:rPr>
                <w:rFonts w:ascii="Calibri" w:hAnsi="Calibri" w:cs="Calibri"/>
                <w:sz w:val="18"/>
                <w:szCs w:val="18"/>
                <w:lang w:val="id-ID"/>
              </w:rPr>
              <w:t xml:space="preserve">3. Kerja sama tim</w:t>
            </w:r>
          </w:p>
        </w:tc>
        <w:tc>
          <w:tcPr>
            <w:tcW w:w="700" w:type="dxa"/>
          </w:tcPr>
          <w:p>
            <w:pPr>
              <w:spacing w:before="0" w:after="0" w:line="240" w:lineRule="auto"/>
              <w:jc w:val="center"/>
            </w:pPr>
            <w:r>
              <w:rPr>
                <w:rFonts w:ascii="Calibri" w:hAnsi="Calibri" w:cs="Calibri"/>
                <w:sz w:val="18"/>
                <w:szCs w:val="18"/>
                <w:lang w:val="id-ID"/>
              </w:rPr>
              <w:t xml:space="preserve">7%</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Analisis Timing Pipelining &amp; Hit Cache</w:t>
            </w:r>
          </w:p>
        </w:tc>
        <w:tc>
          <w:tcPr>
            <w:tcW w:w="1500" w:type="dxa"/>
          </w:tcPr>
          <w:p>
            <w:pPr>
              <w:spacing w:before="0" w:after="0" w:line="240" w:lineRule="auto"/>
            </w:pPr>
            <w:r>
              <w:rPr>
                <w:rFonts w:ascii="Calibri" w:hAnsi="Calibri" w:cs="Calibri"/>
                <w:sz w:val="18"/>
                <w:szCs w:val="18"/>
                <w:lang w:val="id-ID"/>
              </w:rPr>
              <w:t xml:space="preserve">Sub-CPMK5 s.d. Sub-CPMK8</w:t>
            </w:r>
          </w:p>
          <w:p>
            <w:pPr>
              <w:spacing w:before="0" w:after="0" w:line="240" w:lineRule="auto"/>
            </w:pPr>
            <w:r>
              <w:rPr>
                <w:rFonts w:ascii="Calibri" w:hAnsi="Calibri" w:cs="Calibri"/>
                <w:sz w:val="18"/>
                <w:szCs w:val="18"/>
                <w:lang w:val="id-ID"/>
              </w:rPr>
              <w:t xml:space="preserve">Kelompok (4–5 mhs)</w:t>
            </w:r>
          </w:p>
          <w:p>
            <w:pPr>
              <w:spacing w:before="0" w:after="0" w:line="240" w:lineRule="auto"/>
            </w:pPr>
            <w:r>
              <w:rPr>
                <w:rFonts w:ascii="Calibri" w:hAnsi="Calibri" w:cs="Calibri"/>
                <w:sz w:val="18"/>
                <w:szCs w:val="18"/>
                <w:lang w:val="id-ID"/>
              </w:rPr>
              <w:t xml:space="preserve">Minggu 9–15</w:t>
            </w:r>
          </w:p>
        </w:tc>
        <w:tc>
          <w:tcPr>
            <w:tcW w:w="3340" w:type="dxa"/>
          </w:tcPr>
          <w:p>
            <w:pPr>
              <w:spacing w:before="0" w:after="0" w:line="240" w:lineRule="auto"/>
            </w:pPr>
            <w:r>
              <w:rPr>
                <w:rFonts w:ascii="Calibri" w:hAnsi="Calibri" w:cs="Calibri"/>
                <w:sz w:val="18"/>
                <w:szCs w:val="18"/>
                <w:lang w:val="id-ID"/>
              </w:rPr>
              <w:t xml:space="preserve">A. Menganalisis timing diagram pipeline dan merancang forwarding path untuk mengatasi data hazard.</w:t>
            </w:r>
          </w:p>
          <w:p>
            <w:pPr>
              <w:spacing w:before="0" w:after="0" w:line="240" w:lineRule="auto"/>
            </w:pPr>
            <w:r>
              <w:rPr>
                <w:rFonts w:ascii="Calibri" w:hAnsi="Calibri" w:cs="Calibri"/>
                <w:sz w:val="18"/>
                <w:szCs w:val="18"/>
                <w:lang w:val="id-ID"/>
              </w:rPr>
              <w:t xml:space="preserve">B. Menghitung hit ratio dan AMAT pada hierarki cache L1/L2.</w:t>
            </w:r>
          </w:p>
          <w:p>
            <w:pPr>
              <w:spacing w:before="0" w:after="0" w:line="240" w:lineRule="auto"/>
            </w:pPr>
            <w:r>
              <w:rPr>
                <w:rFonts w:ascii="Calibri" w:hAnsi="Calibri" w:cs="Calibri"/>
                <w:sz w:val="18"/>
                <w:szCs w:val="18"/>
                <w:lang w:val="id-ID"/>
              </w:rPr>
              <w:t xml:space="preserve">Luaran: Laporan teknis simulasi pipeline &amp; cache.</w:t>
            </w:r>
          </w:p>
        </w:tc>
        <w:tc>
          <w:tcPr>
            <w:tcW w:w="2320" w:type="dxa"/>
          </w:tcPr>
          <w:p>
            <w:pPr>
              <w:spacing w:before="0" w:after="0" w:line="240" w:lineRule="auto"/>
              <w:ind w:left="284" w:hanging="284"/>
            </w:pPr>
            <w:r>
              <w:rPr>
                <w:rFonts w:ascii="Calibri" w:hAnsi="Calibri" w:cs="Calibri"/>
                <w:sz w:val="18"/>
                <w:szCs w:val="18"/>
                <w:lang w:val="id-ID"/>
              </w:rPr>
              <w:t xml:space="preserve">1. Ketepatan timing diagram</w:t>
            </w:r>
          </w:p>
          <w:p>
            <w:pPr>
              <w:spacing w:before="0" w:after="0" w:line="240" w:lineRule="auto"/>
              <w:ind w:left="284" w:hanging="284"/>
            </w:pPr>
            <w:r>
              <w:rPr>
                <w:rFonts w:ascii="Calibri" w:hAnsi="Calibri" w:cs="Calibri"/>
                <w:sz w:val="18"/>
                <w:szCs w:val="18"/>
                <w:lang w:val="id-ID"/>
              </w:rPr>
              <w:t xml:space="preserve">2. Akurasi kalkulasi AMAT</w:t>
            </w:r>
          </w:p>
          <w:p>
            <w:pPr>
              <w:spacing w:before="0" w:after="0" w:line="240" w:lineRule="auto"/>
              <w:ind w:left="284" w:hanging="284"/>
            </w:pPr>
            <w:r>
              <w:rPr>
                <w:rFonts w:ascii="Calibri" w:hAnsi="Calibri" w:cs="Calibri"/>
                <w:sz w:val="18"/>
                <w:szCs w:val="18"/>
                <w:lang w:val="id-ID"/>
              </w:rPr>
              <w:t xml:space="preserve">3. Kualitas presentasi kelompok</w:t>
            </w:r>
          </w:p>
        </w:tc>
        <w:tc>
          <w:tcPr>
            <w:tcW w:w="700" w:type="dxa"/>
          </w:tcPr>
          <w:p>
            <w:pPr>
              <w:spacing w:before="0" w:after="0" w:line="240" w:lineRule="auto"/>
              <w:jc w:val="center"/>
            </w:pPr>
            <w:r>
              <w:rPr>
                <w:rFonts w:ascii="Calibri" w:hAnsi="Calibri" w:cs="Calibri"/>
                <w:sz w:val="18"/>
                <w:szCs w:val="18"/>
                <w:lang w:val="id-ID"/>
              </w:rPr>
              <w:t xml:space="preserve">8%</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analitis berskala 1–5 untuk mengukur kemampuan analisis arsitektur komputer:</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Tugas-1: Kalkulasi Kinerja CPU &amp; Siklus Instruksi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Akurasi kalkulasi CPI &amp; Amdahl</w:t>
            </w:r>
            <w:r>
              <w:rPr>
                <w:rFonts w:ascii="Calibri" w:hAnsi="Calibri" w:cs="Calibri"/>
                <w:sz w:val="18"/>
                <w:szCs w:val="18"/>
                <w:lang w:val="id-ID"/>
              </w:rPr>
              <w:t xml:space="preserve"> (50%)</w:t>
            </w:r>
          </w:p>
        </w:tc>
        <w:tc>
          <w:tcPr>
            <w:tcW w:w="1560" w:type="dxa"/>
          </w:tcPr>
          <w:p>
            <w:pPr>
              <w:spacing w:before="0" w:after="0" w:line="240" w:lineRule="auto"/>
            </w:pPr>
            <w:r>
              <w:rPr>
                <w:rFonts w:ascii="Calibri" w:hAnsi="Calibri" w:cs="Calibri"/>
                <w:sz w:val="18"/>
                <w:szCs w:val="18"/>
                <w:lang w:val="id-ID"/>
              </w:rPr>
              <w:t xml:space="preserve">Perhitungan 100% tepat, runtut, menggunakan formula yang benar tanpa kekeliruan</w:t>
            </w:r>
          </w:p>
        </w:tc>
        <w:tc>
          <w:tcPr>
            <w:tcW w:w="1560" w:type="dxa"/>
          </w:tcPr>
          <w:p>
            <w:pPr>
              <w:spacing w:before="0" w:after="0" w:line="240" w:lineRule="auto"/>
            </w:pPr>
            <w:r>
              <w:rPr>
                <w:rFonts w:ascii="Calibri" w:hAnsi="Calibri" w:cs="Calibri"/>
                <w:sz w:val="18"/>
                <w:szCs w:val="18"/>
                <w:lang w:val="id-ID"/>
              </w:rPr>
              <w:t xml:space="preserve">Perhitungan benar dengan sedikit kekeliruan pembulatan (≥80%)</w:t>
            </w:r>
          </w:p>
        </w:tc>
        <w:tc>
          <w:tcPr>
            <w:tcW w:w="1560" w:type="dxa"/>
          </w:tcPr>
          <w:p>
            <w:pPr>
              <w:spacing w:before="0" w:after="0" w:line="240" w:lineRule="auto"/>
            </w:pPr>
            <w:r>
              <w:rPr>
                <w:rFonts w:ascii="Calibri" w:hAnsi="Calibri" w:cs="Calibri"/>
                <w:sz w:val="18"/>
                <w:szCs w:val="18"/>
                <w:lang w:val="id-ID"/>
              </w:rPr>
              <w:t xml:space="preserve">Perhitungan sebagian benar (60–79%)</w:t>
            </w:r>
          </w:p>
        </w:tc>
        <w:tc>
          <w:tcPr>
            <w:tcW w:w="1560" w:type="dxa"/>
          </w:tcPr>
          <w:p>
            <w:pPr>
              <w:spacing w:before="0" w:after="0" w:line="240" w:lineRule="auto"/>
            </w:pPr>
            <w:r>
              <w:rPr>
                <w:rFonts w:ascii="Calibri" w:hAnsi="Calibri" w:cs="Calibri"/>
                <w:sz w:val="18"/>
                <w:szCs w:val="18"/>
                <w:lang w:val="id-ID"/>
              </w:rPr>
              <w:t xml:space="preserve">Banyak kesalahan dalam penerapan rumus</w:t>
            </w:r>
          </w:p>
        </w:tc>
        <w:tc>
          <w:tcPr>
            <w:tcW w:w="1560" w:type="dxa"/>
          </w:tcPr>
          <w:p>
            <w:pPr>
              <w:spacing w:before="0" w:after="0" w:line="240" w:lineRule="auto"/>
            </w:pPr>
            <w:r>
              <w:rPr>
                <w:rFonts w:ascii="Calibri" w:hAnsi="Calibri" w:cs="Calibri"/>
                <w:sz w:val="18"/>
                <w:szCs w:val="18"/>
                <w:lang w:val="id-ID"/>
              </w:rPr>
              <w:t xml:space="preserve">Perhitungan salah total</w:t>
            </w:r>
          </w:p>
        </w:tc>
      </w:tr>
      <w:tr>
        <w:tc>
          <w:tcPr>
            <w:tcW w:w="1560" w:type="dxa"/>
          </w:tcPr>
          <w:p>
            <w:pPr>
              <w:spacing w:before="0" w:after="0" w:line="240" w:lineRule="auto"/>
            </w:pPr>
            <w:r>
              <w:rPr>
                <w:rFonts w:ascii="Calibri" w:hAnsi="Calibri" w:cs="Calibri"/>
                <w:b/>
                <w:bCs/>
                <w:sz w:val="18"/>
                <w:szCs w:val="18"/>
                <w:lang w:val="id-ID"/>
              </w:rPr>
              <w:t xml:space="preserve">Ketepatan diagram siklus instruksi</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Diagram sangat lengkap, menggambarkan hubungan PC, MAR, MBR, IR, dan ALU secara sempurna</w:t>
            </w:r>
          </w:p>
        </w:tc>
        <w:tc>
          <w:tcPr>
            <w:tcW w:w="1560" w:type="dxa"/>
          </w:tcPr>
          <w:p>
            <w:pPr>
              <w:spacing w:before="0" w:after="0" w:line="240" w:lineRule="auto"/>
            </w:pPr>
            <w:r>
              <w:rPr>
                <w:rFonts w:ascii="Calibri" w:hAnsi="Calibri" w:cs="Calibri"/>
                <w:sz w:val="18"/>
                <w:szCs w:val="18"/>
                <w:lang w:val="id-ID"/>
              </w:rPr>
              <w:t xml:space="preserve">Diagram benar dan alur cukup jelas</w:t>
            </w:r>
          </w:p>
        </w:tc>
        <w:tc>
          <w:tcPr>
            <w:tcW w:w="1560" w:type="dxa"/>
          </w:tcPr>
          <w:p>
            <w:pPr>
              <w:spacing w:before="0" w:after="0" w:line="240" w:lineRule="auto"/>
            </w:pPr>
            <w:r>
              <w:rPr>
                <w:rFonts w:ascii="Calibri" w:hAnsi="Calibri" w:cs="Calibri"/>
                <w:sz w:val="18"/>
                <w:szCs w:val="18"/>
                <w:lang w:val="id-ID"/>
              </w:rPr>
              <w:t xml:space="preserve">Diagram cukup lengkap ada sedikit komponen kurang</w:t>
            </w:r>
          </w:p>
        </w:tc>
        <w:tc>
          <w:tcPr>
            <w:tcW w:w="1560" w:type="dxa"/>
          </w:tcPr>
          <w:p>
            <w:pPr>
              <w:spacing w:before="0" w:after="0" w:line="240" w:lineRule="auto"/>
            </w:pPr>
            <w:r>
              <w:rPr>
                <w:rFonts w:ascii="Calibri" w:hAnsi="Calibri" w:cs="Calibri"/>
                <w:sz w:val="18"/>
                <w:szCs w:val="18"/>
                <w:lang w:val="id-ID"/>
              </w:rPr>
              <w:t xml:space="preserve">Diagram membingungkan dan tidak runtut</w:t>
            </w:r>
          </w:p>
        </w:tc>
        <w:tc>
          <w:tcPr>
            <w:tcW w:w="1560" w:type="dxa"/>
          </w:tcPr>
          <w:p>
            <w:pPr>
              <w:spacing w:before="0" w:after="0" w:line="240" w:lineRule="auto"/>
            </w:pPr>
            <w:r>
              <w:rPr>
                <w:rFonts w:ascii="Calibri" w:hAnsi="Calibri" w:cs="Calibri"/>
                <w:sz w:val="18"/>
                <w:szCs w:val="18"/>
                <w:lang w:val="id-ID"/>
              </w:rPr>
              <w:t xml:space="preserve">Diagram salah total</w:t>
            </w:r>
          </w:p>
        </w:tc>
      </w:tr>
      <w:tr>
        <w:tc>
          <w:tcPr>
            <w:tcW w:w="1560" w:type="dxa"/>
          </w:tcPr>
          <w:p>
            <w:pPr>
              <w:spacing w:before="0" w:after="0" w:line="240" w:lineRule="auto"/>
            </w:pPr>
            <w:r>
              <w:rPr>
                <w:rFonts w:ascii="Calibri" w:hAnsi="Calibri" w:cs="Calibri"/>
                <w:b/>
                <w:bCs/>
                <w:sz w:val="18"/>
                <w:szCs w:val="18"/>
                <w:lang w:val="id-ID"/>
              </w:rPr>
              <w:t xml:space="preserve">Kerapian &amp; ketepatan waktu</w:t>
            </w:r>
            <w:r>
              <w:rPr>
                <w:rFonts w:ascii="Calibri" w:hAnsi="Calibri" w:cs="Calibri"/>
                <w:sz w:val="18"/>
                <w:szCs w:val="18"/>
                <w:lang w:val="id-ID"/>
              </w:rPr>
              <w:t xml:space="preserve"> (20%)</w:t>
            </w:r>
          </w:p>
        </w:tc>
        <w:tc>
          <w:tcPr>
            <w:tcW w:w="1560" w:type="dxa"/>
          </w:tcPr>
          <w:p>
            <w:pPr>
              <w:spacing w:before="0" w:after="0" w:line="240" w:lineRule="auto"/>
            </w:pPr>
            <w:r>
              <w:rPr>
                <w:rFonts w:ascii="Calibri" w:hAnsi="Calibri" w:cs="Calibri"/>
                <w:sz w:val="18"/>
                <w:szCs w:val="18"/>
                <w:lang w:val="id-ID"/>
              </w:rPr>
              <w:t xml:space="preserve">Sangat rapi, format teknis baku, tepat waktu</w:t>
            </w:r>
          </w:p>
        </w:tc>
        <w:tc>
          <w:tcPr>
            <w:tcW w:w="1560" w:type="dxa"/>
          </w:tcPr>
          <w:p>
            <w:pPr>
              <w:spacing w:before="0" w:after="0" w:line="240" w:lineRule="auto"/>
            </w:pPr>
            <w:r>
              <w:rPr>
                <w:rFonts w:ascii="Calibri" w:hAnsi="Calibri" w:cs="Calibri"/>
                <w:sz w:val="18"/>
                <w:szCs w:val="18"/>
                <w:lang w:val="id-ID"/>
              </w:rPr>
              <w:t xml:space="preserve">Rapi dan tepat waktu</w:t>
            </w:r>
          </w:p>
        </w:tc>
        <w:tc>
          <w:tcPr>
            <w:tcW w:w="1560" w:type="dxa"/>
          </w:tcPr>
          <w:p>
            <w:pPr>
              <w:spacing w:before="0" w:after="0" w:line="240" w:lineRule="auto"/>
            </w:pPr>
            <w:r>
              <w:rPr>
                <w:rFonts w:ascii="Calibri" w:hAnsi="Calibri" w:cs="Calibri"/>
                <w:sz w:val="18"/>
                <w:szCs w:val="18"/>
                <w:lang w:val="id-ID"/>
              </w:rPr>
              <w:t xml:space="preserve">Cukup rapi, terlambat &lt; 1 hari</w:t>
            </w:r>
          </w:p>
        </w:tc>
        <w:tc>
          <w:tcPr>
            <w:tcW w:w="1560" w:type="dxa"/>
          </w:tcPr>
          <w:p>
            <w:pPr>
              <w:spacing w:before="0" w:after="0" w:line="240" w:lineRule="auto"/>
            </w:pPr>
            <w:r>
              <w:rPr>
                <w:rFonts w:ascii="Calibri" w:hAnsi="Calibri" w:cs="Calibri"/>
                <w:sz w:val="18"/>
                <w:szCs w:val="18"/>
                <w:lang w:val="id-ID"/>
              </w:rPr>
              <w:t xml:space="preserve">Tidak rapi dan terlambat</w:t>
            </w:r>
          </w:p>
        </w:tc>
        <w:tc>
          <w:tcPr>
            <w:tcW w:w="1560" w:type="dxa"/>
          </w:tcPr>
          <w:p>
            <w:pPr>
              <w:spacing w:before="0" w:after="0" w:line="240" w:lineRule="auto"/>
            </w:pPr>
            <w:r>
              <w:rPr>
                <w:rFonts w:ascii="Calibri" w:hAnsi="Calibri" w:cs="Calibri"/>
                <w:sz w:val="18"/>
                <w:szCs w:val="18"/>
                <w:lang w:val="id-ID"/>
              </w:rPr>
              <w:t xml:space="preserve">Format tidak sesuai standar</w:t>
            </w:r>
          </w:p>
        </w:tc>
      </w:tr>
    </w:tbl>
    <w:p>
      <w:pPr>
        <w:spacing w:before="0" w:after="0" w:line="240" w:lineRule="auto"/>
      </w:pPr>
    </w:p>
    <w:p>
      <w:pPr>
        <w:spacing w:before="0" w:after="0" w:line="240" w:lineRule="auto"/>
      </w:pPr>
      <w:r>
        <w:rPr>
          <w:rFonts w:ascii="Cambria" w:hAnsi="Cambria" w:cs="Cambria"/>
          <w:b/>
          <w:bCs/>
          <w:sz w:val="22"/>
          <w:szCs w:val="22"/>
          <w:lang w:val="id-ID"/>
        </w:rPr>
        <w:t xml:space="preserve">Tabel R2. Rubrik penilaian Tugas-3: Analisis Timing Pipelining &amp; Hit Cache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Ketajaman analisis hazard pipeline</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Identifikasi data/control hazard sangat akurat, solusi forwarding path dan branch delay slot tepat</w:t>
            </w:r>
          </w:p>
        </w:tc>
        <w:tc>
          <w:tcPr>
            <w:tcW w:w="1560" w:type="dxa"/>
          </w:tcPr>
          <w:p>
            <w:pPr>
              <w:spacing w:before="0" w:after="0" w:line="240" w:lineRule="auto"/>
            </w:pPr>
            <w:r>
              <w:rPr>
                <w:rFonts w:ascii="Calibri" w:hAnsi="Calibri" w:cs="Calibri"/>
                <w:sz w:val="18"/>
                <w:szCs w:val="18"/>
                <w:lang w:val="id-ID"/>
              </w:rPr>
              <w:t xml:space="preserve">Analisis hazard tepat dan solusi logis</w:t>
            </w:r>
          </w:p>
        </w:tc>
        <w:tc>
          <w:tcPr>
            <w:tcW w:w="1560" w:type="dxa"/>
          </w:tcPr>
          <w:p>
            <w:pPr>
              <w:spacing w:before="0" w:after="0" w:line="240" w:lineRule="auto"/>
            </w:pPr>
            <w:r>
              <w:rPr>
                <w:rFonts w:ascii="Calibri" w:hAnsi="Calibri" w:cs="Calibri"/>
                <w:sz w:val="18"/>
                <w:szCs w:val="18"/>
                <w:lang w:val="id-ID"/>
              </w:rPr>
              <w:t xml:space="preserve">Analisis hazard cukup namun solusi kurang optimal</w:t>
            </w:r>
          </w:p>
        </w:tc>
        <w:tc>
          <w:tcPr>
            <w:tcW w:w="1560" w:type="dxa"/>
          </w:tcPr>
          <w:p>
            <w:pPr>
              <w:spacing w:before="0" w:after="0" w:line="240" w:lineRule="auto"/>
            </w:pPr>
            <w:r>
              <w:rPr>
                <w:rFonts w:ascii="Calibri" w:hAnsi="Calibri" w:cs="Calibri"/>
                <w:sz w:val="18"/>
                <w:szCs w:val="18"/>
                <w:lang w:val="id-ID"/>
              </w:rPr>
              <w:t xml:space="preserve">Banyak kesalahan identifikasi hazard</w:t>
            </w:r>
          </w:p>
        </w:tc>
        <w:tc>
          <w:tcPr>
            <w:tcW w:w="1560" w:type="dxa"/>
          </w:tcPr>
          <w:p>
            <w:pPr>
              <w:spacing w:before="0" w:after="0" w:line="240" w:lineRule="auto"/>
            </w:pPr>
            <w:r>
              <w:rPr>
                <w:rFonts w:ascii="Calibri" w:hAnsi="Calibri" w:cs="Calibri"/>
                <w:sz w:val="18"/>
                <w:szCs w:val="18"/>
                <w:lang w:val="id-ID"/>
              </w:rPr>
              <w:t xml:space="preserve">Analisis pipeline salah total</w:t>
            </w:r>
          </w:p>
        </w:tc>
      </w:tr>
      <w:tr>
        <w:tc>
          <w:tcPr>
            <w:tcW w:w="1560" w:type="dxa"/>
          </w:tcPr>
          <w:p>
            <w:pPr>
              <w:spacing w:before="0" w:after="0" w:line="240" w:lineRule="auto"/>
            </w:pPr>
            <w:r>
              <w:rPr>
                <w:rFonts w:ascii="Calibri" w:hAnsi="Calibri" w:cs="Calibri"/>
                <w:b/>
                <w:bCs/>
                <w:sz w:val="18"/>
                <w:szCs w:val="18"/>
                <w:lang w:val="id-ID"/>
              </w:rPr>
              <w:t xml:space="preserve">Akurasi perhitungan hierarki cache</w:t>
            </w:r>
            <w:r>
              <w:rPr>
                <w:rFonts w:ascii="Calibri" w:hAnsi="Calibri" w:cs="Calibri"/>
                <w:sz w:val="18"/>
                <w:szCs w:val="18"/>
                <w:lang w:val="id-ID"/>
              </w:rPr>
              <w:t xml:space="preserve"> (35%)</w:t>
            </w:r>
          </w:p>
        </w:tc>
        <w:tc>
          <w:tcPr>
            <w:tcW w:w="1560" w:type="dxa"/>
          </w:tcPr>
          <w:p>
            <w:pPr>
              <w:spacing w:before="0" w:after="0" w:line="240" w:lineRule="auto"/>
            </w:pPr>
            <w:r>
              <w:rPr>
                <w:rFonts w:ascii="Calibri" w:hAnsi="Calibri" w:cs="Calibri"/>
                <w:sz w:val="18"/>
                <w:szCs w:val="18"/>
                <w:lang w:val="id-ID"/>
              </w:rPr>
              <w:t xml:space="preserve">Kalkulasi direct/set-associative mapping, hit ratio, dan AMAT 100% akurat</w:t>
            </w:r>
          </w:p>
        </w:tc>
        <w:tc>
          <w:tcPr>
            <w:tcW w:w="1560" w:type="dxa"/>
          </w:tcPr>
          <w:p>
            <w:pPr>
              <w:spacing w:before="0" w:after="0" w:line="240" w:lineRule="auto"/>
            </w:pPr>
            <w:r>
              <w:rPr>
                <w:rFonts w:ascii="Calibri" w:hAnsi="Calibri" w:cs="Calibri"/>
                <w:sz w:val="18"/>
                <w:szCs w:val="18"/>
                <w:lang w:val="id-ID"/>
              </w:rPr>
              <w:t xml:space="preserve">Perhitungan benar dengan kekeliruan minor</w:t>
            </w:r>
          </w:p>
        </w:tc>
        <w:tc>
          <w:tcPr>
            <w:tcW w:w="1560" w:type="dxa"/>
          </w:tcPr>
          <w:p>
            <w:pPr>
              <w:spacing w:before="0" w:after="0" w:line="240" w:lineRule="auto"/>
            </w:pPr>
            <w:r>
              <w:rPr>
                <w:rFonts w:ascii="Calibri" w:hAnsi="Calibri" w:cs="Calibri"/>
                <w:sz w:val="18"/>
                <w:szCs w:val="18"/>
                <w:lang w:val="id-ID"/>
              </w:rPr>
              <w:t xml:space="preserve">Perhitungan sebagian benar</w:t>
            </w:r>
          </w:p>
        </w:tc>
        <w:tc>
          <w:tcPr>
            <w:tcW w:w="1560" w:type="dxa"/>
          </w:tcPr>
          <w:p>
            <w:pPr>
              <w:spacing w:before="0" w:after="0" w:line="240" w:lineRule="auto"/>
            </w:pPr>
            <w:r>
              <w:rPr>
                <w:rFonts w:ascii="Calibri" w:hAnsi="Calibri" w:cs="Calibri"/>
                <w:sz w:val="18"/>
                <w:szCs w:val="18"/>
                <w:lang w:val="id-ID"/>
              </w:rPr>
              <w:t xml:space="preserve">Perhitungan salah konsep</w:t>
            </w:r>
          </w:p>
        </w:tc>
        <w:tc>
          <w:tcPr>
            <w:tcW w:w="1560" w:type="dxa"/>
          </w:tcPr>
          <w:p>
            <w:pPr>
              <w:spacing w:before="0" w:after="0" w:line="240" w:lineRule="auto"/>
            </w:pPr>
            <w:r>
              <w:rPr>
                <w:rFonts w:ascii="Calibri" w:hAnsi="Calibri" w:cs="Calibri"/>
                <w:sz w:val="18"/>
                <w:szCs w:val="18"/>
                <w:lang w:val="id-ID"/>
              </w:rPr>
              <w:t xml:space="preserve">Tidak ada perhitungan cache</w:t>
            </w:r>
          </w:p>
        </w:tc>
      </w:tr>
      <w:tr>
        <w:tc>
          <w:tcPr>
            <w:tcW w:w="1560" w:type="dxa"/>
          </w:tcPr>
          <w:p>
            <w:pPr>
              <w:spacing w:before="0" w:after="0" w:line="240" w:lineRule="auto"/>
            </w:pPr>
            <w:r>
              <w:rPr>
                <w:rFonts w:ascii="Calibri" w:hAnsi="Calibri" w:cs="Calibri"/>
                <w:b/>
                <w:bCs/>
                <w:sz w:val="18"/>
                <w:szCs w:val="18"/>
                <w:lang w:val="id-ID"/>
              </w:rPr>
              <w:t xml:space="preserve">Kualitas laporan teknis</w:t>
            </w:r>
            <w:r>
              <w:rPr>
                <w:rFonts w:ascii="Calibri" w:hAnsi="Calibri" w:cs="Calibri"/>
                <w:sz w:val="18"/>
                <w:szCs w:val="18"/>
                <w:lang w:val="id-ID"/>
              </w:rPr>
              <w:t xml:space="preserve"> (25%)</w:t>
            </w:r>
          </w:p>
        </w:tc>
        <w:tc>
          <w:tcPr>
            <w:tcW w:w="1560" w:type="dxa"/>
          </w:tcPr>
          <w:p>
            <w:pPr>
              <w:spacing w:before="0" w:after="0" w:line="240" w:lineRule="auto"/>
            </w:pPr>
            <w:r>
              <w:rPr>
                <w:rFonts w:ascii="Calibri" w:hAnsi="Calibri" w:cs="Calibri"/>
                <w:sz w:val="18"/>
                <w:szCs w:val="18"/>
                <w:lang w:val="id-ID"/>
              </w:rPr>
              <w:t xml:space="preserve">Laporan disusun dengan standar penulisan teknik prima, visualisasi timing chart jelas</w:t>
            </w:r>
          </w:p>
        </w:tc>
        <w:tc>
          <w:tcPr>
            <w:tcW w:w="1560" w:type="dxa"/>
          </w:tcPr>
          <w:p>
            <w:pPr>
              <w:spacing w:before="0" w:after="0" w:line="240" w:lineRule="auto"/>
            </w:pPr>
            <w:r>
              <w:rPr>
                <w:rFonts w:ascii="Calibri" w:hAnsi="Calibri" w:cs="Calibri"/>
                <w:sz w:val="18"/>
                <w:szCs w:val="18"/>
                <w:lang w:val="id-ID"/>
              </w:rPr>
              <w:t xml:space="preserve">Laporan baik dan visualisasi memadai</w:t>
            </w:r>
          </w:p>
        </w:tc>
        <w:tc>
          <w:tcPr>
            <w:tcW w:w="1560" w:type="dxa"/>
          </w:tcPr>
          <w:p>
            <w:pPr>
              <w:spacing w:before="0" w:after="0" w:line="240" w:lineRule="auto"/>
            </w:pPr>
            <w:r>
              <w:rPr>
                <w:rFonts w:ascii="Calibri" w:hAnsi="Calibri" w:cs="Calibri"/>
                <w:sz w:val="18"/>
                <w:szCs w:val="18"/>
                <w:lang w:val="id-ID"/>
              </w:rPr>
              <w:t xml:space="preserve">Laporan cukup baik namun kurang terstruktur</w:t>
            </w:r>
          </w:p>
        </w:tc>
        <w:tc>
          <w:tcPr>
            <w:tcW w:w="1560" w:type="dxa"/>
          </w:tcPr>
          <w:p>
            <w:pPr>
              <w:spacing w:before="0" w:after="0" w:line="240" w:lineRule="auto"/>
            </w:pPr>
            <w:r>
              <w:rPr>
                <w:rFonts w:ascii="Calibri" w:hAnsi="Calibri" w:cs="Calibri"/>
                <w:sz w:val="18"/>
                <w:szCs w:val="18"/>
                <w:lang w:val="id-ID"/>
              </w:rPr>
              <w:t xml:space="preserve">Laporan tidak teratur</w:t>
            </w:r>
          </w:p>
        </w:tc>
        <w:tc>
          <w:tcPr>
            <w:tcW w:w="1560" w:type="dxa"/>
          </w:tcPr>
          <w:p>
            <w:pPr>
              <w:spacing w:before="0" w:after="0" w:line="240" w:lineRule="auto"/>
            </w:pPr>
            <w:r>
              <w:rPr>
                <w:rFonts w:ascii="Calibri" w:hAnsi="Calibri" w:cs="Calibri"/>
                <w:sz w:val="18"/>
                <w:szCs w:val="18"/>
                <w:lang w:val="id-ID"/>
              </w:rPr>
              <w:t xml:space="preserve">Tidak memenuhi standar laporan</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sebagai bagian dari instrumen penilaian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GASAL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Arsitektur Komputer | Kode/sks: IF1303 / 3 sks | Semester: 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Aris Wijayanti, M.Kom | Waktu: 90 Menit | Sifat Ujian: Tertutup (Kalkulator Scientific Diperkenankan)</w:t>
            </w:r>
          </w:p>
        </w:tc>
      </w:tr>
      <w:tr>
        <w:tc>
          <w:tcPr>
            <w:tcW w:w="9360" w:type="dxa"/>
            <w:gridSpan w:val="3"/>
          </w:tcPr>
          <w:p>
            <w:pPr>
              <w:spacing w:before="0" w:after="0" w:line="240" w:lineRule="auto"/>
              <w:jc w:val="center"/>
            </w:pPr>
            <w:r>
              <w:rPr>
                <w:rFonts w:ascii="Calibri" w:hAnsi="Calibri" w:cs="Calibri"/>
                <w:sz w:val="18"/>
                <w:szCs w:val="18"/>
                <w:lang w:val="id-ID"/>
              </w:rPr>
              <w:t xml:space="preserve">Petunjuk: Tuliskan jawaban beserta langkah kerja dan penalaran logis secara sistematis pada lembar jawaban!</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Bagian I: Evaluasi Kinerja CPU dan Siklus Instruksi</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Butir Pertanyaan Ujian</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Sebuah prosesor menjalankan program dengan komposisi instruksi: Aritmetika (50%, CPI=1), Load/Store (30%, CPI=3), dan Branch (20%, CPI=2). Hitung: a) Nilai CPI rata-rata prosesor tersebut! b) Jika frekuensi clock 2,5 GHz, berapa waktu eksekusi untuk program dengan 10 juta instruksi?</w:t>
            </w:r>
          </w:p>
        </w:tc>
        <w:tc>
          <w:tcPr>
            <w:tcW w:w="1100" w:type="dxa"/>
          </w:tcPr>
          <w:p>
            <w:pPr>
              <w:spacing w:before="0" w:after="0" w:line="240" w:lineRule="auto"/>
              <w:jc w:val="center"/>
            </w:pPr>
            <w:r>
              <w:rPr>
                <w:rFonts w:ascii="Calibri" w:hAnsi="Calibri" w:cs="Calibri"/>
                <w:sz w:val="18"/>
                <w:szCs w:val="18"/>
                <w:lang w:val="id-ID"/>
              </w:rPr>
              <w:t xml:space="preserve">20</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shd w:val="clear" w:color="auto" w:fill="D9D9D9"/>
          </w:tcPr>
          <w:p>
            <w:pPr>
              <w:spacing w:before="0" w:after="0" w:line="240" w:lineRule="auto"/>
              <w:jc w:val="center"/>
            </w:pPr>
            <w:r>
              <w:rPr>
                <w:rFonts w:ascii="Calibri" w:hAnsi="Calibri" w:cs="Calibri"/>
                <w:b/>
                <w:bCs/>
                <w:sz w:val="18"/>
                <w:szCs w:val="18"/>
                <w:lang w:val="id-ID"/>
              </w:rPr>
              <w:t xml:space="preserve">Bagian II: Aritmetika Biner dan Format Instruksi</w:t>
            </w:r>
          </w:p>
        </w:tc>
        <w:tc>
          <w:tcPr>
            <w:tcW w:w="7560" w:type="dxa"/>
            <w:shd w:val="clear" w:color="auto" w:fill="D9D9D9"/>
          </w:tcPr>
          <w:p>
            <w:pPr>
              <w:spacing w:before="0" w:after="0" w:line="240" w:lineRule="auto"/>
            </w:pPr>
          </w:p>
        </w:tc>
        <w:tc>
          <w:tcPr>
            <w:tcW w:w="1100" w:type="dxa"/>
            <w:shd w:val="clear" w:color="auto" w:fill="D9D9D9"/>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No</w:t>
            </w:r>
          </w:p>
        </w:tc>
        <w:tc>
          <w:tcPr>
            <w:tcW w:w="7560" w:type="dxa"/>
          </w:tcPr>
          <w:p>
            <w:pPr>
              <w:spacing w:before="0" w:after="0" w:line="240" w:lineRule="auto"/>
            </w:pPr>
            <w:r>
              <w:rPr>
                <w:rFonts w:ascii="Calibri" w:hAnsi="Calibri" w:cs="Calibri"/>
                <w:sz w:val="18"/>
                <w:szCs w:val="18"/>
                <w:lang w:val="id-ID"/>
              </w:rPr>
              <w:t xml:space="preserve">Butir Pertanyaan Ujian</w:t>
            </w:r>
          </w:p>
        </w:tc>
        <w:tc>
          <w:tcPr>
            <w:tcW w:w="1100" w:type="dxa"/>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Konversikan bilangan real desimal -45,625 ke dalam representasi format floating-point standar IEEE 754 presisi tunggal (32-bit)! Rincikan nilai bit Sign, Exponent (dengan bias), dan Mantissa-nya.</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8260" w:type="dxa"/>
            <w:gridSpan w:val="2"/>
          </w:tcPr>
          <w:p>
            <w:pPr>
              <w:spacing w:before="0" w:after="0" w:line="240" w:lineRule="auto"/>
              <w:jc w:val="center"/>
            </w:pPr>
            <w:r>
              <w:rPr>
                <w:rFonts w:ascii="Calibri" w:hAnsi="Calibri" w:cs="Calibri"/>
                <w:sz w:val="18"/>
                <w:szCs w:val="18"/>
                <w:lang w:val="id-ID"/>
              </w:rPr>
              <w:t xml:space="preserve">4</w:t>
            </w:r>
          </w:p>
        </w:tc>
        <w:tc>
          <w:tcPr>
            <w:tcW w:w="1100" w:type="dxa"/>
          </w:tcPr>
          <w:p>
            <w:pPr>
              <w:spacing w:before="0" w:after="0" w:line="240" w:lineRule="auto"/>
              <w:jc w:val="center"/>
            </w:pPr>
            <w:r>
              <w:rPr>
                <w:rFonts w:ascii="Calibri" w:hAnsi="Calibri" w:cs="Calibri"/>
                <w:sz w:val="18"/>
                <w:szCs w:val="18"/>
                <w:lang w:val="id-ID"/>
              </w:rPr>
              <w:t xml:space="preserve">30</w:t>
            </w:r>
          </w:p>
        </w:tc>
      </w:tr>
      <w:tr>
        <w:tc>
          <w:tcPr>
            <w:tcW w:w="9360" w:type="dxa"/>
            <w:gridSpan w:val="3"/>
          </w:tcPr>
          <w:p>
            <w:pPr>
              <w:spacing w:before="0" w:after="0" w:line="240" w:lineRule="auto"/>
              <w:jc w:val="center"/>
            </w:pPr>
            <w:r>
              <w:rPr>
                <w:rFonts w:ascii="Calibri" w:hAnsi="Calibri" w:cs="Calibri"/>
                <w:b/>
                <w:bCs/>
                <w:sz w:val="18"/>
                <w:szCs w:val="18"/>
                <w:lang w:val="id-ID"/>
              </w:rPr>
              <w:t xml:space="preserve">Total</w:t>
            </w:r>
          </w:p>
        </w:tc>
      </w:tr>
      <w:tr>
        <w:tc>
          <w:tcPr>
            <w:tcW w:w="700" w:type="dxa"/>
          </w:tcPr>
          <w:p>
            <w:pPr>
              <w:spacing w:before="0" w:after="0" w:line="240" w:lineRule="auto"/>
              <w:jc w:val="center"/>
            </w:pPr>
            <w:r>
              <w:rPr>
                <w:rFonts w:ascii="Calibri" w:hAnsi="Calibri" w:cs="Calibri"/>
                <w:sz w:val="18"/>
                <w:szCs w:val="18"/>
                <w:lang w:val="id-ID"/>
              </w:rPr>
              <w:t xml:space="preserve">--- Periksa kembali ketelitian kalkulasi Anda sebelum menyerahkan lembar ujian ---</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lembar jawaban UTS dilakukan dengan rubrik analitis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Kebenaran formula &amp; akurasi hitungan</w:t>
            </w:r>
            <w:r>
              <w:rPr>
                <w:rFonts w:ascii="Calibri" w:hAnsi="Calibri" w:cs="Calibri"/>
                <w:sz w:val="18"/>
                <w:szCs w:val="18"/>
                <w:lang w:val="id-ID"/>
              </w:rPr>
              <w:t xml:space="preserve"> (45%)</w:t>
            </w:r>
          </w:p>
        </w:tc>
        <w:tc>
          <w:tcPr>
            <w:tcW w:w="1560" w:type="dxa"/>
          </w:tcPr>
          <w:p>
            <w:pPr>
              <w:spacing w:before="0" w:after="0" w:line="240" w:lineRule="auto"/>
            </w:pPr>
            <w:r>
              <w:rPr>
                <w:rFonts w:ascii="Calibri" w:hAnsi="Calibri" w:cs="Calibri"/>
                <w:sz w:val="18"/>
                <w:szCs w:val="18"/>
                <w:lang w:val="id-ID"/>
              </w:rPr>
              <w:t xml:space="preserve">Formula tepat, substitusi variabel benar, hasil perhitungan 100% akurat</w:t>
            </w:r>
          </w:p>
        </w:tc>
        <w:tc>
          <w:tcPr>
            <w:tcW w:w="1560" w:type="dxa"/>
          </w:tcPr>
          <w:p>
            <w:pPr>
              <w:spacing w:before="0" w:after="0" w:line="240" w:lineRule="auto"/>
            </w:pPr>
            <w:r>
              <w:rPr>
                <w:rFonts w:ascii="Calibri" w:hAnsi="Calibri" w:cs="Calibri"/>
                <w:sz w:val="18"/>
                <w:szCs w:val="18"/>
                <w:lang w:val="id-ID"/>
              </w:rPr>
              <w:t xml:space="preserve">Formula tepat dengan kesalahan kalkulasi minor</w:t>
            </w:r>
          </w:p>
        </w:tc>
        <w:tc>
          <w:tcPr>
            <w:tcW w:w="1560" w:type="dxa"/>
          </w:tcPr>
          <w:p>
            <w:pPr>
              <w:spacing w:before="0" w:after="0" w:line="240" w:lineRule="auto"/>
            </w:pPr>
            <w:r>
              <w:rPr>
                <w:rFonts w:ascii="Calibri" w:hAnsi="Calibri" w:cs="Calibri"/>
                <w:sz w:val="18"/>
                <w:szCs w:val="18"/>
                <w:lang w:val="id-ID"/>
              </w:rPr>
              <w:t xml:space="preserve">Formula cukup tepat namun ada kesalahan substansial</w:t>
            </w:r>
          </w:p>
        </w:tc>
        <w:tc>
          <w:tcPr>
            <w:tcW w:w="1560" w:type="dxa"/>
          </w:tcPr>
          <w:p>
            <w:pPr>
              <w:spacing w:before="0" w:after="0" w:line="240" w:lineRule="auto"/>
            </w:pPr>
            <w:r>
              <w:rPr>
                <w:rFonts w:ascii="Calibri" w:hAnsi="Calibri" w:cs="Calibri"/>
                <w:sz w:val="18"/>
                <w:szCs w:val="18"/>
                <w:lang w:val="id-ID"/>
              </w:rPr>
              <w:t xml:space="preserve">Formula salah dan kalkulasi keliru</w:t>
            </w:r>
          </w:p>
        </w:tc>
        <w:tc>
          <w:tcPr>
            <w:tcW w:w="1560" w:type="dxa"/>
          </w:tcPr>
          <w:p>
            <w:pPr>
              <w:spacing w:before="0" w:after="0" w:line="240" w:lineRule="auto"/>
            </w:pPr>
            <w:r>
              <w:rPr>
                <w:rFonts w:ascii="Calibri" w:hAnsi="Calibri" w:cs="Calibri"/>
                <w:sz w:val="18"/>
                <w:szCs w:val="18"/>
                <w:lang w:val="id-ID"/>
              </w:rPr>
              <w:t xml:space="preserve">Jawaban salah total</w:t>
            </w:r>
          </w:p>
        </w:tc>
      </w:tr>
      <w:tr>
        <w:tc>
          <w:tcPr>
            <w:tcW w:w="1560" w:type="dxa"/>
          </w:tcPr>
          <w:p>
            <w:pPr>
              <w:spacing w:before="0" w:after="0" w:line="240" w:lineRule="auto"/>
            </w:pPr>
            <w:r>
              <w:rPr>
                <w:rFonts w:ascii="Calibri" w:hAnsi="Calibri" w:cs="Calibri"/>
                <w:b/>
                <w:bCs/>
                <w:sz w:val="18"/>
                <w:szCs w:val="18"/>
                <w:lang w:val="id-ID"/>
              </w:rPr>
              <w:t xml:space="preserve">Kejelasan diagram alir CPU &amp; register</w:t>
            </w:r>
            <w:r>
              <w:rPr>
                <w:rFonts w:ascii="Calibri" w:hAnsi="Calibri" w:cs="Calibri"/>
                <w:sz w:val="18"/>
                <w:szCs w:val="18"/>
                <w:lang w:val="id-ID"/>
              </w:rPr>
              <w:t xml:space="preserve"> (35%)</w:t>
            </w:r>
          </w:p>
        </w:tc>
        <w:tc>
          <w:tcPr>
            <w:tcW w:w="1560" w:type="dxa"/>
          </w:tcPr>
          <w:p>
            <w:pPr>
              <w:spacing w:before="0" w:after="0" w:line="240" w:lineRule="auto"/>
            </w:pPr>
            <w:r>
              <w:rPr>
                <w:rFonts w:ascii="Calibri" w:hAnsi="Calibri" w:cs="Calibri"/>
                <w:sz w:val="18"/>
                <w:szCs w:val="18"/>
                <w:lang w:val="id-ID"/>
              </w:rPr>
              <w:t xml:space="preserve">Diagram sangat presisi, interaksi antar register digambarkan sempurna</w:t>
            </w:r>
          </w:p>
        </w:tc>
        <w:tc>
          <w:tcPr>
            <w:tcW w:w="1560" w:type="dxa"/>
          </w:tcPr>
          <w:p>
            <w:pPr>
              <w:spacing w:before="0" w:after="0" w:line="240" w:lineRule="auto"/>
            </w:pPr>
            <w:r>
              <w:rPr>
                <w:rFonts w:ascii="Calibri" w:hAnsi="Calibri" w:cs="Calibri"/>
                <w:sz w:val="18"/>
                <w:szCs w:val="18"/>
                <w:lang w:val="id-ID"/>
              </w:rPr>
              <w:t xml:space="preserve">Diagram benar dan penjelasan register jelas</w:t>
            </w:r>
          </w:p>
        </w:tc>
        <w:tc>
          <w:tcPr>
            <w:tcW w:w="1560" w:type="dxa"/>
          </w:tcPr>
          <w:p>
            <w:pPr>
              <w:spacing w:before="0" w:after="0" w:line="240" w:lineRule="auto"/>
            </w:pPr>
            <w:r>
              <w:rPr>
                <w:rFonts w:ascii="Calibri" w:hAnsi="Calibri" w:cs="Calibri"/>
                <w:sz w:val="18"/>
                <w:szCs w:val="18"/>
                <w:lang w:val="id-ID"/>
              </w:rPr>
              <w:t xml:space="preserve">Diagram cukup jelas namun ada komponen terlewat</w:t>
            </w:r>
          </w:p>
        </w:tc>
        <w:tc>
          <w:tcPr>
            <w:tcW w:w="1560" w:type="dxa"/>
          </w:tcPr>
          <w:p>
            <w:pPr>
              <w:spacing w:before="0" w:after="0" w:line="240" w:lineRule="auto"/>
            </w:pPr>
            <w:r>
              <w:rPr>
                <w:rFonts w:ascii="Calibri" w:hAnsi="Calibri" w:cs="Calibri"/>
                <w:sz w:val="18"/>
                <w:szCs w:val="18"/>
                <w:lang w:val="id-ID"/>
              </w:rPr>
              <w:t xml:space="preserve">Diagram membingungkan dan tidak tepat</w:t>
            </w:r>
          </w:p>
        </w:tc>
        <w:tc>
          <w:tcPr>
            <w:tcW w:w="1560" w:type="dxa"/>
          </w:tcPr>
          <w:p>
            <w:pPr>
              <w:spacing w:before="0" w:after="0" w:line="240" w:lineRule="auto"/>
            </w:pPr>
            <w:r>
              <w:rPr>
                <w:rFonts w:ascii="Calibri" w:hAnsi="Calibri" w:cs="Calibri"/>
                <w:sz w:val="18"/>
                <w:szCs w:val="18"/>
                <w:lang w:val="id-ID"/>
              </w:rPr>
              <w:t xml:space="preserve">Tidak ada diagram</w:t>
            </w:r>
          </w:p>
        </w:tc>
      </w:tr>
      <w:tr>
        <w:tc>
          <w:tcPr>
            <w:tcW w:w="1560" w:type="dxa"/>
          </w:tcPr>
          <w:p>
            <w:pPr>
              <w:spacing w:before="0" w:after="0" w:line="240" w:lineRule="auto"/>
            </w:pPr>
            <w:r>
              <w:rPr>
                <w:rFonts w:ascii="Calibri" w:hAnsi="Calibri" w:cs="Calibri"/>
                <w:b/>
                <w:bCs/>
                <w:sz w:val="18"/>
                <w:szCs w:val="18"/>
                <w:lang w:val="id-ID"/>
              </w:rPr>
              <w:t xml:space="preserve">Kedalaman argumentasi perbandingan ISA</w:t>
            </w:r>
            <w:r>
              <w:rPr>
                <w:rFonts w:ascii="Calibri" w:hAnsi="Calibri" w:cs="Calibri"/>
                <w:sz w:val="18"/>
                <w:szCs w:val="18"/>
                <w:lang w:val="id-ID"/>
              </w:rPr>
              <w:t xml:space="preserve"> (20%)</w:t>
            </w:r>
          </w:p>
        </w:tc>
        <w:tc>
          <w:tcPr>
            <w:tcW w:w="1560" w:type="dxa"/>
          </w:tcPr>
          <w:p>
            <w:pPr>
              <w:spacing w:before="0" w:after="0" w:line="240" w:lineRule="auto"/>
            </w:pPr>
            <w:r>
              <w:rPr>
                <w:rFonts w:ascii="Calibri" w:hAnsi="Calibri" w:cs="Calibri"/>
                <w:sz w:val="18"/>
                <w:szCs w:val="18"/>
                <w:lang w:val="id-ID"/>
              </w:rPr>
              <w:t xml:space="preserve">Analisis komparasi RISC vs CISC sangat mendalam, teknis, dan kontekstual</w:t>
            </w:r>
          </w:p>
        </w:tc>
        <w:tc>
          <w:tcPr>
            <w:tcW w:w="1560" w:type="dxa"/>
          </w:tcPr>
          <w:p>
            <w:pPr>
              <w:spacing w:before="0" w:after="0" w:line="240" w:lineRule="auto"/>
            </w:pPr>
            <w:r>
              <w:rPr>
                <w:rFonts w:ascii="Calibri" w:hAnsi="Calibri" w:cs="Calibri"/>
                <w:sz w:val="18"/>
                <w:szCs w:val="18"/>
                <w:lang w:val="id-ID"/>
              </w:rPr>
              <w:t xml:space="preserve">Analisis komparasi baik dan tepat</w:t>
            </w:r>
          </w:p>
        </w:tc>
        <w:tc>
          <w:tcPr>
            <w:tcW w:w="1560" w:type="dxa"/>
          </w:tcPr>
          <w:p>
            <w:pPr>
              <w:spacing w:before="0" w:after="0" w:line="240" w:lineRule="auto"/>
            </w:pPr>
            <w:r>
              <w:rPr>
                <w:rFonts w:ascii="Calibri" w:hAnsi="Calibri" w:cs="Calibri"/>
                <w:sz w:val="18"/>
                <w:szCs w:val="18"/>
                <w:lang w:val="id-ID"/>
              </w:rPr>
              <w:t xml:space="preserve">Analisis cukup baik namun bersifat teoritis umum</w:t>
            </w:r>
          </w:p>
        </w:tc>
        <w:tc>
          <w:tcPr>
            <w:tcW w:w="1560" w:type="dxa"/>
          </w:tcPr>
          <w:p>
            <w:pPr>
              <w:spacing w:before="0" w:after="0" w:line="240" w:lineRule="auto"/>
            </w:pPr>
            <w:r>
              <w:rPr>
                <w:rFonts w:ascii="Calibri" w:hAnsi="Calibri" w:cs="Calibri"/>
                <w:sz w:val="18"/>
                <w:szCs w:val="18"/>
                <w:lang w:val="id-ID"/>
              </w:rPr>
              <w:t xml:space="preserve">Analisis dangkal</w:t>
            </w:r>
          </w:p>
        </w:tc>
        <w:tc>
          <w:tcPr>
            <w:tcW w:w="1560" w:type="dxa"/>
          </w:tcPr>
          <w:p>
            <w:pPr>
              <w:spacing w:before="0" w:after="0" w:line="240" w:lineRule="auto"/>
            </w:pPr>
            <w:r>
              <w:rPr>
                <w:rFonts w:ascii="Calibri" w:hAnsi="Calibri" w:cs="Calibri"/>
                <w:sz w:val="18"/>
                <w:szCs w:val="18"/>
                <w:lang w:val="id-ID"/>
              </w:rPr>
              <w:t xml:space="preserve">Tidak ada analisis</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Tugas-1 (3)</w:t>
            </w:r>
          </w:p>
        </w:tc>
        <w:tc>
          <w:tcPr>
            <w:tcW w:w="1000" w:type="dxa"/>
          </w:tcPr>
          <w:p>
            <w:pPr>
              <w:spacing w:before="0" w:after="0" w:line="240" w:lineRule="auto"/>
              <w:jc w:val="center"/>
            </w:pPr>
            <w:r>
              <w:rPr>
                <w:rFonts w:ascii="Calibri" w:hAnsi="Calibri" w:cs="Calibri"/>
                <w:sz w:val="18"/>
                <w:szCs w:val="18"/>
                <w:lang w:val="id-ID"/>
              </w:rPr>
              <w:t xml:space="preserve">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(1), Tugas-1 (2), UTS (7)</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(1), Tugas-2 (4), UTS (10)</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(1), Tugas-2 (3), UTS (13)</w:t>
            </w:r>
          </w:p>
        </w:tc>
        <w:tc>
          <w:tcPr>
            <w:tcW w:w="1000" w:type="dxa"/>
          </w:tcPr>
          <w:p>
            <w:pPr>
              <w:spacing w:before="0" w:after="0" w:line="240" w:lineRule="auto"/>
              <w:jc w:val="center"/>
            </w:pPr>
            <w:r>
              <w:rPr>
                <w:rFonts w:ascii="Calibri" w:hAnsi="Calibri" w:cs="Calibri"/>
                <w:sz w:val="18"/>
                <w:szCs w:val="18"/>
                <w:lang w:val="id-ID"/>
              </w:rPr>
              <w:t xml:space="preserve">17</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(1), Tugas-3 (4),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Tugas-3 (4), UAS (10)</w:t>
            </w:r>
          </w:p>
        </w:tc>
        <w:tc>
          <w:tcPr>
            <w:tcW w:w="1000" w:type="dxa"/>
          </w:tcPr>
          <w:p>
            <w:pPr>
              <w:spacing w:before="0" w:after="0" w:line="240" w:lineRule="auto"/>
              <w:jc w:val="center"/>
            </w:pPr>
            <w:r>
              <w:rPr>
                <w:rFonts w:ascii="Calibri" w:hAnsi="Calibri" w:cs="Calibri"/>
                <w:sz w:val="18"/>
                <w:szCs w:val="18"/>
                <w:lang w:val="id-ID"/>
              </w:rPr>
              <w:t xml:space="preserve">16</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(1), UAS (11)</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(1), UAS (11)</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CPL03</w:t>
            </w:r>
          </w:p>
        </w:tc>
        <w:tc>
          <w:tcPr>
            <w:tcW w:w="2000" w:type="dxa"/>
          </w:tcPr>
          <w:p>
            <w:pPr>
              <w:spacing w:before="0" w:after="0" w:line="240" w:lineRule="auto"/>
            </w:pPr>
            <w:r>
              <w:rPr>
                <w:rFonts w:ascii="Calibri" w:hAnsi="Calibri" w:cs="Calibri"/>
                <w:sz w:val="18"/>
                <w:szCs w:val="18"/>
                <w:lang w:val="id-ID"/>
              </w:rPr>
              <w:t xml:space="preserve">Sub-CPMK1, 2, 3, 4, 7</w:t>
            </w:r>
          </w:p>
        </w:tc>
        <w:tc>
          <w:tcPr>
            <w:tcW w:w="900" w:type="dxa"/>
          </w:tcPr>
          <w:p>
            <w:pPr>
              <w:spacing w:before="0" w:after="0" w:line="240" w:lineRule="auto"/>
              <w:jc w:val="center"/>
            </w:pPr>
            <w:r>
              <w:rPr>
                <w:rFonts w:ascii="Calibri" w:hAnsi="Calibri" w:cs="Calibri"/>
                <w:sz w:val="18"/>
                <w:szCs w:val="18"/>
                <w:lang w:val="id-ID"/>
              </w:rPr>
              <w:t xml:space="preserve">59</w:t>
            </w:r>
          </w:p>
        </w:tc>
        <w:tc>
          <w:tcPr>
            <w:tcW w:w="3760" w:type="dxa"/>
          </w:tcPr>
          <w:p>
            <w:pPr>
              <w:spacing w:before="0" w:after="0" w:line="240" w:lineRule="auto"/>
            </w:pPr>
            <w:r>
              <w:rPr>
                <w:rFonts w:ascii="Calibri" w:hAnsi="Calibri" w:cs="Calibri"/>
                <w:sz w:val="18"/>
                <w:szCs w:val="18"/>
                <w:lang w:val="id-ID"/>
              </w:rPr>
              <w:t xml:space="preserve">(N1×5 + N2×10 + N3×15 + N4×17 + N7×12) / 59</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CPL05</w:t>
            </w:r>
          </w:p>
        </w:tc>
        <w:tc>
          <w:tcPr>
            <w:tcW w:w="2000" w:type="dxa"/>
          </w:tcPr>
          <w:p>
            <w:pPr>
              <w:spacing w:before="0" w:after="0" w:line="240" w:lineRule="auto"/>
            </w:pPr>
            <w:r>
              <w:rPr>
                <w:rFonts w:ascii="Calibri" w:hAnsi="Calibri" w:cs="Calibri"/>
                <w:sz w:val="18"/>
                <w:szCs w:val="18"/>
                <w:lang w:val="id-ID"/>
              </w:rPr>
              <w:t xml:space="preserve">Sub-CPMK5, 6, 8</w:t>
            </w:r>
          </w:p>
        </w:tc>
        <w:tc>
          <w:tcPr>
            <w:tcW w:w="900" w:type="dxa"/>
          </w:tcPr>
          <w:p>
            <w:pPr>
              <w:spacing w:before="0" w:after="0" w:line="240" w:lineRule="auto"/>
              <w:jc w:val="center"/>
            </w:pPr>
            <w:r>
              <w:rPr>
                <w:rFonts w:ascii="Calibri" w:hAnsi="Calibri" w:cs="Calibri"/>
                <w:sz w:val="18"/>
                <w:szCs w:val="18"/>
                <w:lang w:val="id-ID"/>
              </w:rPr>
              <w:t xml:space="preserve">41</w:t>
            </w:r>
          </w:p>
        </w:tc>
        <w:tc>
          <w:tcPr>
            <w:tcW w:w="3760" w:type="dxa"/>
          </w:tcPr>
          <w:p>
            <w:pPr>
              <w:spacing w:before="0" w:after="0" w:line="240" w:lineRule="auto"/>
            </w:pPr>
            <w:r>
              <w:rPr>
                <w:rFonts w:ascii="Calibri" w:hAnsi="Calibri" w:cs="Calibri"/>
                <w:sz w:val="18"/>
                <w:szCs w:val="18"/>
                <w:lang w:val="id-ID"/>
              </w:rPr>
              <w:t xml:space="preserve">(N5×13 + N6×16 + N8×12) / 41</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Keterangan: N1–N8 adalah nilai Sub-CPMK mahasiswa (skala 0–100). Standar pencapaian CPL minimal adalah ≥ 70.</w:t>
      </w: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