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0" w:after="220"/>
        <w:jc w:val="center"/>
        <w:rPr/>
      </w:pPr>
      <w:r>
        <w:rPr/>
        <w:t>Task 5 Subreport: PI Hyperconnected Transportation</w:t>
      </w:r>
    </w:p>
    <w:p>
      <w:pPr>
        <w:pStyle w:val="Normal"/>
        <w:bidi w:val="0"/>
        <w:spacing w:lineRule="auto" w:line="300" w:before="0" w:after="140"/>
        <w:jc w:val="left"/>
        <w:rPr/>
      </w:pPr>
      <w:r>
        <w:rPr/>
        <w:t>This report is structured directly around the Task 5 PDF prompts. Each section below corresponds to one of the 15 Task 5 subtasks and uses the current repo's Task5 pipeline, output tables, and comparison artifacts as the evidence base.</w:t>
      </w:r>
    </w:p>
    <w:p>
      <w:pPr>
        <w:pStyle w:val="Heading1"/>
        <w:bidi w:val="0"/>
        <w:spacing w:before="180" w:after="100"/>
        <w:jc w:val="left"/>
        <w:rPr/>
      </w:pPr>
      <w:r>
        <w:rPr/>
        <w:t>Task 5.1: Network Design and Roadmap</w:t>
      </w:r>
    </w:p>
    <w:p>
      <w:pPr>
        <w:pStyle w:val="Heading2"/>
        <w:bidi w:val="0"/>
        <w:spacing w:before="120" w:after="40"/>
        <w:jc w:val="left"/>
        <w:rPr/>
      </w:pPr>
      <w:r>
        <w:rPr/>
        <w:t>Design Logic</w:t>
      </w:r>
    </w:p>
    <w:p>
      <w:pPr>
        <w:pStyle w:val="SpecLine"/>
        <w:bidi w:val="0"/>
        <w:spacing w:before="0" w:after="90"/>
        <w:jc w:val="left"/>
        <w:rPr/>
      </w:pPr>
      <w:r>
        <w:rPr/>
        <w:t>Objective: exploit existing open PI infrastructure to connect Rotterdam, Euro DCs, peri-urban metro hubs, and non-metro country demand with relay capability and low detour.</w:t>
      </w:r>
    </w:p>
    <w:p>
      <w:pPr>
        <w:pStyle w:val="Bullet"/>
        <w:bidi w:val="0"/>
        <w:spacing w:lineRule="auto" w:line="262" w:before="0" w:after="40"/>
        <w:ind w:hanging="180" w:left="360"/>
        <w:jc w:val="left"/>
        <w:rPr/>
      </w:pPr>
      <w:r>
        <w:rPr/>
        <w:t>- Base nodes: 1 Rotterdam port, 4 Euro DCs, peri-urban hubs from the metro layer (excluding DC cities), and 1 non-metro centroid per country.</w:t>
      </w:r>
    </w:p>
    <w:p>
      <w:pPr>
        <w:pStyle w:val="Bullet"/>
        <w:bidi w:val="0"/>
        <w:spacing w:lineRule="auto" w:line="262" w:before="0" w:after="40"/>
        <w:ind w:hanging="180" w:left="360"/>
        <w:jc w:val="left"/>
        <w:rPr/>
      </w:pPr>
      <w:r>
        <w:rPr/>
        <w:t>- Activation: only countries in the saved opening schedule are live in each year, so the topology grows with the market rollout instead of assuming instant Europe-wide coverage.</w:t>
      </w:r>
    </w:p>
    <w:p>
      <w:pPr>
        <w:pStyle w:val="Bullet"/>
        <w:bidi w:val="0"/>
        <w:spacing w:lineRule="auto" w:line="262" w:before="0" w:after="40"/>
        <w:ind w:hanging="180" w:left="360"/>
        <w:jc w:val="left"/>
        <w:rPr/>
      </w:pPr>
      <w:r>
        <w:rPr/>
        <w:t>- Relay rule: if a DC-to-destination movement exceeds the 11-hour single-driver limit, create a relay candidate near the midpoint, cluster candidates within 80 km, and reuse a nearby peri-urban hub when possible.</w:t>
      </w:r>
    </w:p>
    <w:p>
      <w:pPr>
        <w:pStyle w:val="Formula"/>
        <w:bidi w:val="0"/>
        <w:spacing w:before="20" w:after="60"/>
        <w:ind w:left="540"/>
        <w:jc w:val="left"/>
        <w:rPr/>
      </w:pPr>
      <w:r>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1771650" cy="88582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771650" cy="885825"/>
                    </a:xfrm>
                    <a:prstGeom prst="rect">
                      <a:avLst/>
                    </a:prstGeom>
                    <a:noFill/>
                  </pic:spPr>
                </pic:pic>
              </a:graphicData>
            </a:graphic>
          </wp:anchor>
        </w:drawing>
      </w:r>
    </w:p>
    <w:p>
      <w:pPr>
        <w:pStyle w:val="Formula"/>
        <w:bidi w:val="0"/>
        <w:spacing w:before="20" w:after="60"/>
        <w:ind w:left="540"/>
        <w:jc w:val="left"/>
        <w:rPr/>
      </w:pPr>
      <w:r>
        <w:rPr/>
      </w:r>
    </w:p>
    <w:p>
      <w:pPr>
        <w:pStyle w:val="Formula"/>
        <w:bidi w:val="0"/>
        <w:spacing w:before="20" w:after="60"/>
        <w:ind w:left="540"/>
        <w:jc w:val="left"/>
        <w:rPr/>
      </w:pPr>
      <w:r>
        <w:rPr/>
      </w:r>
    </w:p>
    <w:p>
      <w:pPr>
        <w:pStyle w:val="Formula"/>
        <w:bidi w:val="0"/>
        <w:spacing w:before="20" w:after="60"/>
        <w:ind w:left="540"/>
        <w:jc w:val="left"/>
        <w:rPr/>
      </w:pPr>
      <w:r>
        <w:rPr/>
      </w:r>
    </w:p>
    <w:p>
      <w:pPr>
        <w:pStyle w:val="Formula"/>
        <w:bidi w:val="0"/>
        <w:spacing w:before="20" w:after="60"/>
        <w:ind w:left="540"/>
        <w:jc w:val="left"/>
        <w:rPr/>
      </w:pPr>
      <w:r>
        <w:rPr/>
      </w:r>
    </w:p>
    <w:p>
      <w:pPr>
        <w:pStyle w:val="Formula"/>
        <w:bidi w:val="0"/>
        <w:spacing w:before="20" w:after="60"/>
        <w:ind w:left="540"/>
        <w:jc w:val="left"/>
        <w:rPr/>
      </w:pPr>
      <w:r>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2543175" cy="7905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543175" cy="790575"/>
                    </a:xfrm>
                    <a:prstGeom prst="rect">
                      <a:avLst/>
                    </a:prstGeom>
                    <a:noFill/>
                  </pic:spPr>
                </pic:pic>
              </a:graphicData>
            </a:graphic>
          </wp:anchor>
        </w:drawing>
      </w:r>
    </w:p>
    <w:p>
      <w:pPr>
        <w:pStyle w:val="Heading2"/>
        <w:bidi w:val="0"/>
        <w:spacing w:before="120" w:after="40"/>
        <w:jc w:val="left"/>
        <w:rPr/>
      </w:pPr>
      <w:r>
        <w:rPr/>
      </w:r>
    </w:p>
    <w:p>
      <w:pPr>
        <w:pStyle w:val="Heading2"/>
        <w:bidi w:val="0"/>
        <w:spacing w:before="120" w:after="40"/>
        <w:jc w:val="left"/>
        <w:rPr/>
      </w:pPr>
      <w:r>
        <w:rPr/>
      </w:r>
    </w:p>
    <w:p>
      <w:pPr>
        <w:pStyle w:val="Heading2"/>
        <w:bidi w:val="0"/>
        <w:spacing w:before="120" w:after="40"/>
        <w:jc w:val="left"/>
        <w:rPr/>
      </w:pPr>
      <w:r>
        <w:rPr/>
        <w:t>Lane Structure</w:t>
      </w:r>
    </w:p>
    <w:p>
      <w:pPr>
        <w:pStyle w:val="Bullet"/>
        <w:bidi w:val="0"/>
        <w:spacing w:lineRule="auto" w:line="262" w:before="0" w:after="40"/>
        <w:ind w:hanging="180" w:left="360"/>
        <w:jc w:val="left"/>
        <w:rPr/>
      </w:pPr>
      <w:r>
        <w:rPr/>
        <w:t>- PORT_DC: Rotterdam to every active DC for inbound European entry.</w:t>
      </w:r>
    </w:p>
    <w:p>
      <w:pPr>
        <w:pStyle w:val="Bullet"/>
        <w:bidi w:val="0"/>
        <w:spacing w:lineRule="auto" w:line="262" w:before="0" w:after="40"/>
        <w:ind w:hanging="180" w:left="360"/>
        <w:jc w:val="left"/>
        <w:rPr/>
      </w:pPr>
      <w:r>
        <w:rPr/>
        <w:t>- DC_DC: all active DC pairs for inter-DC balancing and inventory transfers.</w:t>
      </w:r>
    </w:p>
    <w:p>
      <w:pPr>
        <w:pStyle w:val="Bullet"/>
        <w:bidi w:val="0"/>
        <w:spacing w:lineRule="auto" w:line="262" w:before="0" w:after="40"/>
        <w:ind w:hanging="180" w:left="360"/>
        <w:jc w:val="left"/>
        <w:rPr/>
      </w:pPr>
      <w:r>
        <w:rPr/>
        <w:t>- DC_HUB_DIRECT: active when a peri-urban hub is within 4 driving hours of a DC.</w:t>
      </w:r>
    </w:p>
    <w:p>
      <w:pPr>
        <w:pStyle w:val="Bullet"/>
        <w:bidi w:val="0"/>
        <w:spacing w:lineRule="auto" w:line="262" w:before="0" w:after="40"/>
        <w:ind w:hanging="180" w:left="360"/>
        <w:jc w:val="left"/>
        <w:rPr/>
      </w:pPr>
      <w:r>
        <w:rPr/>
        <w:t>- DC_RELAY + RELAY_HUB: long-haul support from DC to relay and relay to peri-urban hub.</w:t>
      </w:r>
    </w:p>
    <w:p>
      <w:pPr>
        <w:pStyle w:val="Bullet"/>
        <w:bidi w:val="0"/>
        <w:spacing w:lineRule="auto" w:line="262" w:before="0" w:after="40"/>
        <w:ind w:hanging="180" w:left="360"/>
        <w:jc w:val="left"/>
        <w:rPr/>
      </w:pPr>
      <w:r>
        <w:rPr/>
        <w:t>- HUB_CORRIDOR: short inter-hub corridor up to 300 km for local PI continuity.</w:t>
      </w:r>
    </w:p>
    <w:p>
      <w:pPr>
        <w:pStyle w:val="Bullet"/>
        <w:bidi w:val="0"/>
        <w:spacing w:lineRule="auto" w:line="262" w:before="0" w:after="40"/>
        <w:ind w:hanging="180" w:left="360"/>
        <w:jc w:val="left"/>
        <w:rPr/>
      </w:pPr>
      <w:r>
        <w:rPr/>
      </w:r>
    </w:p>
    <w:p>
      <w:pPr>
        <w:pStyle w:val="Formula"/>
        <w:bidi w:val="0"/>
        <w:spacing w:before="20" w:after="60"/>
        <w:ind w:left="540"/>
        <w:jc w:val="left"/>
        <w:rPr/>
      </w:pPr>
      <w: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3238500" cy="79057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3238500" cy="790575"/>
                    </a:xfrm>
                    <a:prstGeom prst="rect">
                      <a:avLst/>
                    </a:prstGeom>
                    <a:noFill/>
                  </pic:spPr>
                </pic:pic>
              </a:graphicData>
            </a:graphic>
          </wp:anchor>
        </w:drawing>
      </w:r>
    </w:p>
    <w:p>
      <w:pPr>
        <w:pStyle w:val="Formula"/>
        <w:bidi w:val="0"/>
        <w:spacing w:before="20" w:after="60"/>
        <w:ind w:left="540"/>
        <w:jc w:val="left"/>
        <w:rPr/>
      </w:pPr>
      <w:r>
        <w:rPr/>
      </w:r>
    </w:p>
    <w:p>
      <w:pPr>
        <w:pStyle w:val="Formula"/>
        <w:bidi w:val="0"/>
        <w:spacing w:before="20" w:after="60"/>
        <w:ind w:left="540"/>
        <w:jc w:val="left"/>
        <w:rPr/>
      </w:pPr>
      <w:r>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1562100" cy="79057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1562100" cy="790575"/>
                    </a:xfrm>
                    <a:prstGeom prst="rect">
                      <a:avLst/>
                    </a:prstGeom>
                    <a:noFill/>
                  </pic:spPr>
                </pic:pic>
              </a:graphicData>
            </a:graphic>
          </wp:anchor>
        </w:drawing>
      </w:r>
    </w:p>
    <w:p>
      <w:pPr>
        <w:pStyle w:val="Formula"/>
        <w:bidi w:val="0"/>
        <w:spacing w:before="20" w:after="60"/>
        <w:ind w:left="540"/>
        <w:jc w:val="left"/>
        <w:rPr/>
      </w:pPr>
      <w:r>
        <w:rPr/>
      </w:r>
    </w:p>
    <w:p>
      <w:pPr>
        <w:pStyle w:val="SpecLine"/>
        <w:bidi w:val="0"/>
        <w:spacing w:before="0" w:after="90"/>
        <w:jc w:val="left"/>
        <w:rPr/>
      </w:pPr>
      <w:r>
        <w:rPr/>
      </w:r>
    </w:p>
    <w:p>
      <w:pPr>
        <w:pStyle w:val="SpecLine"/>
        <w:bidi w:val="0"/>
        <w:spacing w:before="0" w:after="90"/>
        <w:jc w:val="left"/>
        <w:rPr/>
      </w:pPr>
      <w:r>
        <w:rPr/>
      </w:r>
    </w:p>
    <w:p>
      <w:pPr>
        <w:pStyle w:val="SpecLine"/>
        <w:bidi w:val="0"/>
        <w:spacing w:before="0" w:after="90"/>
        <w:jc w:val="left"/>
        <w:rPr/>
      </w:pPr>
      <w:r>
        <w:rPr/>
        <w:t>Dwell convention: 1 hour at relay-only hubs and 2 hours at consolidation-capable nodes (DCs and peri-urban hubs).</w:t>
      </w:r>
    </w:p>
    <w:p>
      <w:pPr>
        <w:pStyle w:val="Heading2"/>
        <w:bidi w:val="0"/>
        <w:spacing w:before="120" w:after="40"/>
        <w:jc w:val="left"/>
        <w:rPr/>
      </w:pPr>
      <w:r>
        <w:rPr/>
        <w:t>Demand Interface</w:t>
      </w:r>
    </w:p>
    <w:p>
      <w:pPr>
        <w:pStyle w:val="Bullet"/>
        <w:bidi w:val="0"/>
        <w:spacing w:lineRule="auto" w:line="262" w:before="0" w:after="40"/>
        <w:ind w:hanging="180" w:left="360"/>
        <w:jc w:val="left"/>
        <w:rPr/>
      </w:pPr>
      <w:r>
        <w:rPr/>
        <w:t>- Best-route overlay: the demand generator applies the saved route table to Task 4 assignment weights and selects the lowest-service-OTD route for each market.</w:t>
      </w:r>
    </w:p>
    <w:p>
      <w:pPr>
        <w:pStyle w:val="Bullet"/>
        <w:bidi w:val="0"/>
        <w:spacing w:lineRule="auto" w:line="262" w:before="0" w:after="40"/>
        <w:ind w:hanging="180" w:left="360"/>
        <w:jc w:val="left"/>
        <w:rPr/>
      </w:pPr>
      <w:r>
        <w:rPr/>
        <w:t>- PI last mile: metro promises use 4/2/1 hours by population bracket; non-metro promises use 8/16/32 hours by distance band.</w:t>
      </w:r>
    </w:p>
    <w:p>
      <w:pPr>
        <w:pStyle w:val="Formula"/>
        <w:bidi w:val="0"/>
        <w:spacing w:before="20" w:after="60"/>
        <w:ind w:left="540"/>
        <w:jc w:val="left"/>
        <w:rPr/>
      </w:pPr>
      <w:r>
        <w:rPr/>
      </w:r>
    </w:p>
    <w:p>
      <w:pPr>
        <w:pStyle w:val="Formula"/>
        <w:bidi w:val="0"/>
        <w:spacing w:before="20" w:after="60"/>
        <w:ind w:left="540"/>
        <w:jc w:val="left"/>
        <w:rPr/>
      </w:pPr>
      <w:r>
        <w:rPr/>
        <w:drawing>
          <wp:anchor distT="0" distB="0" distL="0" distR="0" simplePos="0" relativeHeight="20" behindDoc="0" locked="0" layoutInCell="0" allowOverlap="1">
            <wp:simplePos x="0" y="0"/>
            <wp:positionH relativeFrom="column">
              <wp:posOffset>2195830</wp:posOffset>
            </wp:positionH>
            <wp:positionV relativeFrom="paragraph">
              <wp:posOffset>-74930</wp:posOffset>
            </wp:positionV>
            <wp:extent cx="2009775" cy="73342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2009775" cy="733425"/>
                    </a:xfrm>
                    <a:prstGeom prst="rect">
                      <a:avLst/>
                    </a:prstGeom>
                    <a:noFill/>
                  </pic:spPr>
                </pic:pic>
              </a:graphicData>
            </a:graphic>
          </wp:anchor>
        </w:drawing>
      </w:r>
    </w:p>
    <w:p>
      <w:pPr>
        <w:pStyle w:val="Formula"/>
        <w:bidi w:val="0"/>
        <w:spacing w:before="20" w:after="60"/>
        <w:ind w:left="540"/>
        <w:jc w:val="left"/>
        <w:rPr/>
      </w:pPr>
      <w:r>
        <w:rPr/>
      </w:r>
    </w:p>
    <w:p>
      <w:pPr>
        <w:pStyle w:val="Formula"/>
        <w:bidi w:val="0"/>
        <w:spacing w:before="20" w:after="60"/>
        <w:ind w:left="540"/>
        <w:jc w:val="left"/>
        <w:rPr/>
      </w:pPr>
      <w:r>
        <w:rPr/>
      </w:r>
    </w:p>
    <w:p>
      <w:pPr>
        <w:pStyle w:val="Formula"/>
        <w:bidi w:val="0"/>
        <w:jc w:val="left"/>
        <w:rPr/>
      </w:pPr>
      <w: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3829050" cy="78105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3829050" cy="781050"/>
                    </a:xfrm>
                    <a:prstGeom prst="rect">
                      <a:avLst/>
                    </a:prstGeom>
                    <a:noFill/>
                  </pic:spPr>
                </pic:pic>
              </a:graphicData>
            </a:graphic>
          </wp:anchor>
        </w:drawing>
      </w:r>
    </w:p>
    <w:p>
      <w:pPr>
        <w:pStyle w:val="SpecLine"/>
        <w:bidi w:val="0"/>
        <w:spacing w:before="0" w:after="90"/>
        <w:jc w:val="left"/>
        <w:rPr/>
      </w:pPr>
      <w:r>
        <w:rPr/>
      </w:r>
    </w:p>
    <w:p>
      <w:pPr>
        <w:pStyle w:val="SpecLine"/>
        <w:bidi w:val="0"/>
        <w:spacing w:before="0" w:after="90"/>
        <w:jc w:val="left"/>
        <w:rPr/>
      </w:pPr>
      <w:r>
        <w:rPr/>
      </w:r>
    </w:p>
    <w:p>
      <w:pPr>
        <w:pStyle w:val="SpecLine"/>
        <w:bidi w:val="0"/>
        <w:spacing w:before="0" w:after="90"/>
        <w:jc w:val="left"/>
        <w:rPr/>
      </w:pPr>
      <w:r>
        <w:rPr/>
      </w:r>
    </w:p>
    <w:p>
      <w:pPr>
        <w:pStyle w:val="SpecLine"/>
        <w:bidi w:val="0"/>
        <w:spacing w:before="0" w:after="90"/>
        <w:jc w:val="left"/>
        <w:rPr/>
      </w:pPr>
      <w:r>
        <w:rPr/>
        <w:t>Interpretation: Task 5.1 is the network-logic layer that directly feeds Task 5.3 transport times and Task 5.5 realized demand.</w:t>
      </w:r>
    </w:p>
    <w:p>
      <w:pPr>
        <w:pStyle w:val="Heading2"/>
        <w:bidi w:val="0"/>
        <w:spacing w:before="120" w:after="40"/>
        <w:jc w:val="left"/>
        <w:rPr/>
      </w:pPr>
      <w:r>
        <w:rPr/>
        <w:t>Roadmap Summary</w:t>
      </w:r>
    </w:p>
    <w:p>
      <w:pPr>
        <w:pStyle w:val="Bullet"/>
        <w:bidi w:val="0"/>
        <w:spacing w:lineRule="auto" w:line="262" w:before="0" w:after="40"/>
        <w:ind w:hanging="180" w:left="360"/>
        <w:jc w:val="left"/>
        <w:rPr/>
      </w:pPr>
      <w:r>
        <w:rPr/>
        <w:t>- 2027: 1 DC, 71 peri-urban hubs, 0 relay hubs, 2,622 lanes, 4 open countries.</w:t>
      </w:r>
    </w:p>
    <w:p>
      <w:pPr>
        <w:pStyle w:val="Bullet"/>
        <w:bidi w:val="0"/>
        <w:spacing w:lineRule="auto" w:line="262" w:before="0" w:after="40"/>
        <w:ind w:hanging="180" w:left="360"/>
        <w:jc w:val="left"/>
        <w:rPr/>
      </w:pPr>
      <w:r>
        <w:rPr/>
        <w:t>- 2028: 2 DCs, 111 peri-urban hubs, 23 relay hubs, 3,462 lanes, 12 open countries.</w:t>
      </w:r>
    </w:p>
    <w:p>
      <w:pPr>
        <w:pStyle w:val="Bullet"/>
        <w:bidi w:val="0"/>
        <w:spacing w:lineRule="auto" w:line="262" w:before="0" w:after="40"/>
        <w:ind w:hanging="180" w:left="360"/>
        <w:jc w:val="left"/>
        <w:rPr/>
      </w:pPr>
      <w:r>
        <w:rPr/>
        <w:t>- 2029: 3 DCs, 232 peri-urban hubs, 103 relay hubs, 6,667 lanes, 19 open countries.</w:t>
      </w:r>
    </w:p>
    <w:p>
      <w:pPr>
        <w:pStyle w:val="Bullet"/>
        <w:bidi w:val="0"/>
        <w:spacing w:lineRule="auto" w:line="262" w:before="0" w:after="40"/>
        <w:ind w:hanging="180" w:left="360"/>
        <w:jc w:val="left"/>
        <w:rPr/>
      </w:pPr>
      <w:r>
        <w:rPr/>
        <w:t>- 2030 onward: 4 DCs, 269 peri-urban hubs, 167 relay hubs, 8,151 lanes, 29 open countries, stable topology through 2034.</w:t>
      </w:r>
    </w:p>
    <w:p>
      <w:pPr>
        <w:pStyle w:val="Heading2"/>
        <w:bidi w:val="0"/>
        <w:spacing w:before="120" w:after="40"/>
        <w:jc w:val="left"/>
        <w:rPr/>
      </w:pPr>
      <w:r>
        <w:rPr/>
        <w:t>Validation Snapshot</w:t>
      </w:r>
    </w:p>
    <w:p>
      <w:pPr>
        <w:pStyle w:val="Bullet"/>
        <w:bidi w:val="0"/>
        <w:spacing w:lineRule="auto" w:line="262" w:before="0" w:after="40"/>
        <w:ind w:hanging="180" w:left="360"/>
        <w:jc w:val="left"/>
        <w:rPr/>
      </w:pPr>
      <w:r>
        <w:rPr/>
        <w:t>- Coverage: 97.40% of feasible port/DC-to-hub pairs.</w:t>
      </w:r>
    </w:p>
    <w:p>
      <w:pPr>
        <w:pStyle w:val="Bullet"/>
        <w:bidi w:val="0"/>
        <w:spacing w:lineRule="auto" w:line="262" w:before="0" w:after="40"/>
        <w:ind w:hanging="180" w:left="360"/>
        <w:jc w:val="left"/>
        <w:rPr/>
      </w:pPr>
      <w:r>
        <w:rPr/>
        <w:t>- DC connectivity: 100.00% with all 6 DC pairs connected.</w:t>
      </w:r>
    </w:p>
    <w:p>
      <w:pPr>
        <w:pStyle w:val="Bullet"/>
        <w:bidi w:val="0"/>
        <w:spacing w:lineRule="auto" w:line="262" w:before="0" w:after="40"/>
        <w:ind w:hanging="180" w:left="360"/>
        <w:jc w:val="left"/>
        <w:rPr/>
      </w:pPr>
      <w:r>
        <w:rPr/>
        <w:t>- Detour control: mean detour 1.021 and 100.00% of accepted routes within the 1.35 cap.</w:t>
      </w:r>
    </w:p>
    <w:p>
      <w:pPr>
        <w:pStyle w:val="Bullet"/>
        <w:bidi w:val="0"/>
        <w:spacing w:lineRule="auto" w:line="262" w:before="0" w:after="40"/>
        <w:ind w:hanging="180" w:left="360"/>
        <w:jc w:val="left"/>
        <w:rPr/>
      </w:pPr>
      <w:r>
        <w:rPr/>
        <w:t>- Route-backed service: 97.02% of service nodes.</w:t>
      </w:r>
    </w:p>
    <w:p>
      <w:pPr>
        <w:pStyle w:val="Bullet"/>
        <w:bidi w:val="0"/>
        <w:spacing w:lineRule="auto" w:line="262" w:before="0" w:after="40"/>
        <w:ind w:hanging="180" w:left="360"/>
        <w:jc w:val="left"/>
        <w:rPr/>
      </w:pPr>
      <w:r>
        <w:rPr/>
        <w:t>- Relay depth: 167 relay hubs and 92.94% dual-role peri-urban hubs.</w:t>
      </w:r>
    </w:p>
    <w:p>
      <w:pPr>
        <w:pStyle w:val="Bullet"/>
        <w:bidi w:val="0"/>
        <w:spacing w:lineRule="auto" w:line="262" w:before="0" w:after="40"/>
        <w:ind w:hanging="180" w:left="360"/>
        <w:jc w:val="left"/>
        <w:rPr/>
      </w:pPr>
      <w:r>
        <w:rPr/>
        <w:t>- Limitation to state explicitly: relay readiness is 69.28%, below the nominal 80% target because many short markets are optimally served directly.</w:t>
      </w:r>
    </w:p>
    <w:p>
      <w:pPr>
        <w:pStyle w:val="Caption"/>
        <w:bidi w:val="0"/>
        <w:spacing w:before="40" w:after="60"/>
        <w:jc w:val="left"/>
        <w:rPr/>
      </w:pPr>
      <w:r>
        <w:rPr/>
        <w:t>Figure 1. Task 5 topology KPIs by year.</w:t>
      </w:r>
    </w:p>
    <w:p>
      <w:pPr>
        <w:pStyle w:val="ImageBlock"/>
        <w:bidi w:val="0"/>
        <w:spacing w:before="0" w:after="160"/>
        <w:jc w:val="center"/>
        <w:rPr/>
      </w:pPr>
      <w:r>
        <w:rPr/>
        <w:drawing>
          <wp:inline distT="0" distB="0" distL="0" distR="0">
            <wp:extent cx="5760720" cy="1999615"/>
            <wp:effectExtent l="0" t="0" r="0" b="0"/>
            <wp:docPr id="7" name="fig_5_1_topology_kp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5_1_topology_kpis.png"/>
                    <pic:cNvPicPr>
                      <a:picLocks noChangeAspect="1" noChangeArrowheads="1"/>
                    </pic:cNvPicPr>
                  </pic:nvPicPr>
                  <pic:blipFill>
                    <a:blip r:embed="rId8"/>
                    <a:stretch>
                      <a:fillRect/>
                    </a:stretch>
                  </pic:blipFill>
                  <pic:spPr bwMode="auto">
                    <a:xfrm>
                      <a:off x="0" y="0"/>
                      <a:ext cx="5760720" cy="1999615"/>
                    </a:xfrm>
                    <a:prstGeom prst="rect">
                      <a:avLst/>
                    </a:prstGeom>
                    <a:noFill/>
                  </pic:spPr>
                </pic:pic>
              </a:graphicData>
            </a:graphic>
          </wp:inline>
        </w:drawing>
      </w:r>
    </w:p>
    <w:p>
      <w:pPr>
        <w:pStyle w:val="Caption"/>
        <w:bidi w:val="0"/>
        <w:spacing w:before="40" w:after="60"/>
        <w:jc w:val="left"/>
        <w:rPr/>
      </w:pPr>
      <w:r>
        <w:rPr/>
        <w:t>Figure 2. 2030 PI network map and node layout.</w:t>
      </w:r>
    </w:p>
    <w:p>
      <w:pPr>
        <w:pStyle w:val="ImageBlock"/>
        <w:bidi w:val="0"/>
        <w:spacing w:before="0" w:after="160"/>
        <w:jc w:val="center"/>
        <w:rPr/>
      </w:pPr>
      <w:r>
        <w:rPr/>
        <w:drawing>
          <wp:inline distT="0" distB="0" distL="0" distR="0">
            <wp:extent cx="5760720" cy="4083685"/>
            <wp:effectExtent l="0" t="0" r="0" b="0"/>
            <wp:docPr id="8" name="fig_5_1_network_map_20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5_1_network_map_2030.png"/>
                    <pic:cNvPicPr>
                      <a:picLocks noChangeAspect="1" noChangeArrowheads="1"/>
                    </pic:cNvPicPr>
                  </pic:nvPicPr>
                  <pic:blipFill>
                    <a:blip r:embed="rId9"/>
                    <a:stretch>
                      <a:fillRect/>
                    </a:stretch>
                  </pic:blipFill>
                  <pic:spPr bwMode="auto">
                    <a:xfrm>
                      <a:off x="0" y="0"/>
                      <a:ext cx="5760720" cy="4083685"/>
                    </a:xfrm>
                    <a:prstGeom prst="rect">
                      <a:avLst/>
                    </a:prstGeom>
                    <a:noFill/>
                  </pic:spPr>
                </pic:pic>
              </a:graphicData>
            </a:graphic>
          </wp:inline>
        </w:drawing>
      </w:r>
    </w:p>
    <w:p>
      <w:pPr>
        <w:pStyle w:val="Heading1"/>
        <w:bidi w:val="0"/>
        <w:spacing w:before="180" w:after="100"/>
        <w:jc w:val="left"/>
        <w:rPr/>
      </w:pPr>
      <w:r>
        <w:rPr/>
        <w:t>Task 5.2: Space Savings from PI Packaging</w:t>
      </w:r>
    </w:p>
    <w:p>
      <w:pPr>
        <w:pStyle w:val="Normal"/>
        <w:bidi w:val="0"/>
        <w:spacing w:lineRule="auto" w:line="300" w:before="0" w:after="140"/>
        <w:jc w:val="left"/>
        <w:rPr/>
      </w:pPr>
      <w:r>
        <w:rPr/>
        <w:t>The PI packaging assumptions materially change density. The model uses a 40.0% unit cube reduction from the non-PI package to the PI p-pack configuration. At the 2030 volume level, this cuts pallet need by 33.3% and TEU need by 57.9%. Put differently, the modeled 6-meter ocean unit goes from about 77 units in the non-PI case to about 183 units in the PI case.</w:t>
      </w:r>
    </w:p>
    <w:p>
      <w:pPr>
        <w:pStyle w:val="Normal"/>
        <w:bidi w:val="0"/>
        <w:spacing w:lineRule="auto" w:line="300" w:before="0" w:after="140"/>
        <w:jc w:val="left"/>
        <w:rPr/>
      </w:pPr>
      <w:r>
        <w:rPr/>
        <w:t>In 2030 the same annual demand would require 2,838 non-PI TEUs versus 1,194 PI TEUs. That is a large enough density change to matter strategically because it reduces ocean shipping intensity, port handling dependence, and the number of inland flows that must be coordinated once cargo lands in Europe.</w:t>
      </w:r>
    </w:p>
    <w:p>
      <w:pPr>
        <w:pStyle w:val="Heading1"/>
        <w:bidi w:val="0"/>
        <w:spacing w:before="180" w:after="100"/>
        <w:jc w:val="left"/>
        <w:rPr/>
      </w:pPr>
      <w:r>
        <w:rPr/>
        <w:t>Task 5.3: Transport Time Reduction</w:t>
      </w:r>
    </w:p>
    <w:p>
      <w:pPr>
        <w:pStyle w:val="Normal"/>
        <w:bidi w:val="0"/>
        <w:spacing w:lineRule="auto" w:line="300" w:before="0" w:after="140"/>
        <w:jc w:val="left"/>
        <w:rPr/>
      </w:pPr>
      <w:r>
        <w:rPr/>
        <w:t>The design reduces transport time by creating a route-backed hierarchy instead of forcing every downstream movement through a narrow DC-centric structure. In the 2030 network, Rotterdam-to-DC drive times are approximately 2.44h to Koeln, 12.34h to Lodz, 15.23h to Rome, and 17.09h to Madrid. Downstream from the DCs, the active route mix contains 116 direct paths, 152 relay-backed paths, 1 DC-transfer paths, and 18 hub-corridor paths.</w:t>
      </w:r>
    </w:p>
    <w:p>
      <w:pPr>
        <w:pStyle w:val="Normal"/>
        <w:bidi w:val="0"/>
        <w:spacing w:lineRule="auto" w:line="300" w:before="0" w:after="140"/>
        <w:jc w:val="left"/>
        <w:rPr/>
      </w:pPr>
      <w:r>
        <w:rPr/>
        <w:t>The route summaries show the same pattern. Koeln is the fastest-positioned DC, with mean downstream elapsed time 8.17h and p95 26.09h. Madrid is the hardest-positioned DC, with mean 7.39h and p95 12.23h. At the service-class level in 2030, mean OTD is about 10.03h for mid-sized metros, 16.44h for closer non-metro markets, and 62.06h for the longest non-metro tail. This is the right signature for a relay-enabled network: a much faster average response than a single-tier network, with a remaining long-tail service penalty for remote markets.</w:t>
      </w:r>
    </w:p>
    <w:p>
      <w:pPr>
        <w:pStyle w:val="Caption"/>
        <w:bidi w:val="0"/>
        <w:spacing w:before="40" w:after="60"/>
        <w:jc w:val="left"/>
        <w:rPr/>
      </w:pPr>
      <w:r>
        <w:rPr/>
        <w:t>Figure 3. OTD simulation outputs used for transport-time assessment.</w:t>
      </w:r>
    </w:p>
    <w:p>
      <w:pPr>
        <w:pStyle w:val="ImageBlock"/>
        <w:bidi w:val="0"/>
        <w:spacing w:before="0" w:after="160"/>
        <w:jc w:val="center"/>
        <w:rPr/>
      </w:pPr>
      <w:r>
        <w:rPr/>
        <w:drawing>
          <wp:inline distT="0" distB="0" distL="0" distR="0">
            <wp:extent cx="5760720" cy="1999615"/>
            <wp:effectExtent l="0" t="0" r="0" b="0"/>
            <wp:docPr id="9" name="fig_5_3_otd_simu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5_3_otd_simulation.png"/>
                    <pic:cNvPicPr>
                      <a:picLocks noChangeAspect="1" noChangeArrowheads="1"/>
                    </pic:cNvPicPr>
                  </pic:nvPicPr>
                  <pic:blipFill>
                    <a:blip r:embed="rId10"/>
                    <a:stretch>
                      <a:fillRect/>
                    </a:stretch>
                  </pic:blipFill>
                  <pic:spPr bwMode="auto">
                    <a:xfrm>
                      <a:off x="0" y="0"/>
                      <a:ext cx="5760720" cy="1999615"/>
                    </a:xfrm>
                    <a:prstGeom prst="rect">
                      <a:avLst/>
                    </a:prstGeom>
                    <a:noFill/>
                  </pic:spPr>
                </pic:pic>
              </a:graphicData>
            </a:graphic>
          </wp:inline>
        </w:drawing>
      </w:r>
    </w:p>
    <w:p>
      <w:pPr>
        <w:pStyle w:val="Heading1"/>
        <w:bidi w:val="0"/>
        <w:spacing w:before="180" w:after="100"/>
        <w:jc w:val="left"/>
        <w:rPr/>
      </w:pPr>
      <w:r>
        <w:rPr/>
        <w:t>Task 5.4: Joint Shipment Example</w:t>
      </w:r>
    </w:p>
    <w:p>
      <w:pPr>
        <w:pStyle w:val="Normal"/>
        <w:bidi w:val="0"/>
        <w:spacing w:lineRule="auto" w:line="300" w:before="0" w:after="140"/>
        <w:jc w:val="left"/>
        <w:rPr/>
      </w:pPr>
      <w:r>
        <w:rPr/>
        <w:t>The saved illustrative trace is a 2027 example because that is the first year with a complete joint-shipment walkthrough in the output set. It shows a shipment moving step 1: PORT_NL_rotterdam to CAND_DE_koeln via PORT_DC, 4.44h cumulative; step 2: CAND_DE_koeln to METRO_BE_brussels via DC_HUB_DIRECT, 8.63h cumulative. Even in this compact example, the structure differs materially from the old network because cargo is already routed through a hub-aware flow rather than simply being pushed from port to DC and then served from a single downstream warehouse logic.</w:t>
      </w:r>
    </w:p>
    <w:p>
      <w:pPr>
        <w:pStyle w:val="Normal"/>
        <w:bidi w:val="0"/>
        <w:spacing w:lineRule="auto" w:line="300" w:before="0" w:after="140"/>
        <w:jc w:val="left"/>
        <w:rPr/>
      </w:pPr>
      <w:r>
        <w:rPr/>
        <w:t>For an all-Euro-DC mixed shipment, the PI logic supports two operational variants. One is a sealed p-pod path from Savannah to Rotterdam and then to the appropriate Euro DC. The second is a deconsolidate-and-reconsolidate path where p-boxes are sorted by downstream direction and injected into different DC, relay, and hub paths after Rotterdam. The latter is where the PI design creates value relative to the old scenario because mixed cargo can keep flowing without waiting for destination-specific full truckloads.</w:t>
      </w:r>
    </w:p>
    <w:p>
      <w:pPr>
        <w:pStyle w:val="Caption"/>
        <w:bidi w:val="0"/>
        <w:spacing w:before="40" w:after="60"/>
        <w:jc w:val="left"/>
        <w:rPr/>
      </w:pPr>
      <w:r>
        <w:rPr/>
        <w:t>Figure 4. Task 5 joint-shipment illustration.</w:t>
      </w:r>
    </w:p>
    <w:p>
      <w:pPr>
        <w:pStyle w:val="ImageBlock"/>
        <w:bidi w:val="0"/>
        <w:spacing w:before="0" w:after="160"/>
        <w:jc w:val="center"/>
        <w:rPr/>
      </w:pPr>
      <w:r>
        <w:rPr/>
        <w:drawing>
          <wp:inline distT="0" distB="0" distL="0" distR="0">
            <wp:extent cx="5760720" cy="2230120"/>
            <wp:effectExtent l="0" t="0" r="0" b="0"/>
            <wp:docPr id="10" name="fig_5_4_joint_ship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5_4_joint_shipment.png"/>
                    <pic:cNvPicPr>
                      <a:picLocks noChangeAspect="1" noChangeArrowheads="1"/>
                    </pic:cNvPicPr>
                  </pic:nvPicPr>
                  <pic:blipFill>
                    <a:blip r:embed="rId11"/>
                    <a:stretch>
                      <a:fillRect/>
                    </a:stretch>
                  </pic:blipFill>
                  <pic:spPr bwMode="auto">
                    <a:xfrm>
                      <a:off x="0" y="0"/>
                      <a:ext cx="5760720" cy="2230120"/>
                    </a:xfrm>
                    <a:prstGeom prst="rect">
                      <a:avLst/>
                    </a:prstGeom>
                    <a:noFill/>
                  </pic:spPr>
                </pic:pic>
              </a:graphicData>
            </a:graphic>
          </wp:inline>
        </w:drawing>
      </w:r>
    </w:p>
    <w:p>
      <w:pPr>
        <w:pStyle w:val="Heading1"/>
        <w:bidi w:val="0"/>
        <w:spacing w:before="180" w:after="100"/>
        <w:jc w:val="left"/>
        <w:rPr/>
      </w:pPr>
      <w:r>
        <w:rPr/>
        <w:t>Task 5.5: Customer OTD and Realized Demand</w:t>
      </w:r>
    </w:p>
    <w:p>
      <w:pPr>
        <w:pStyle w:val="Normal"/>
        <w:bidi w:val="0"/>
        <w:spacing w:lineRule="auto" w:line="300" w:before="0" w:after="140"/>
        <w:jc w:val="left"/>
        <w:rPr/>
      </w:pPr>
      <w:r>
        <w:rPr/>
        <w:t>The service matrix translates route times into purchase probability by market class. In 2030, large-metro markets average about 15.00h OTD with 0.995 purchase probability, mid-sized metros average 10.03h, and the closest non-metro markets average 16.44h. The hardest remote non-metro class still averages 62.06h with purchase probability 0.920, which explains why the long-distance tail remains the weakest demand segment.</w:t>
      </w:r>
    </w:p>
    <w:p>
      <w:pPr>
        <w:pStyle w:val="Normal"/>
        <w:bidi w:val="0"/>
        <w:spacing w:lineRule="auto" w:line="300" w:before="0" w:after="140"/>
        <w:jc w:val="left"/>
        <w:rPr/>
      </w:pPr>
      <w:r>
        <w:rPr/>
        <w:t>Realized PI demand rises from 28,602 units in 2027 to 218,466 in 2030 and 335,411 in 2034. Revenue rises in parallel to EUR 99.1M in 2030 and EUR 152.1M in 2034. The route-backed share remains high at 97.02% in 2030, which means the demand uplift is mostly tied to explicit service design rather than to unexplained exogenous optimism.</w:t>
      </w:r>
    </w:p>
    <w:p>
      <w:pPr>
        <w:pStyle w:val="Caption"/>
        <w:bidi w:val="0"/>
        <w:spacing w:before="40" w:after="60"/>
        <w:jc w:val="left"/>
        <w:rPr/>
      </w:pPr>
      <w:r>
        <w:rPr/>
        <w:t>Figure 5. PI demand uplift across the rollout horizon.</w:t>
      </w:r>
    </w:p>
    <w:p>
      <w:pPr>
        <w:pStyle w:val="ImageBlock"/>
        <w:bidi w:val="0"/>
        <w:spacing w:before="0" w:after="160"/>
        <w:jc w:val="center"/>
        <w:rPr/>
      </w:pPr>
      <w:r>
        <w:rPr/>
        <w:drawing>
          <wp:inline distT="0" distB="0" distL="0" distR="0">
            <wp:extent cx="5760720" cy="1999615"/>
            <wp:effectExtent l="0" t="0" r="0" b="0"/>
            <wp:docPr id="11" name="fig_5_5_demand_uplif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5_5_demand_uplift.png"/>
                    <pic:cNvPicPr>
                      <a:picLocks noChangeAspect="1" noChangeArrowheads="1"/>
                    </pic:cNvPicPr>
                  </pic:nvPicPr>
                  <pic:blipFill>
                    <a:blip r:embed="rId12"/>
                    <a:stretch>
                      <a:fillRect/>
                    </a:stretch>
                  </pic:blipFill>
                  <pic:spPr bwMode="auto">
                    <a:xfrm>
                      <a:off x="0" y="0"/>
                      <a:ext cx="5760720" cy="1999615"/>
                    </a:xfrm>
                    <a:prstGeom prst="rect">
                      <a:avLst/>
                    </a:prstGeom>
                    <a:noFill/>
                  </pic:spPr>
                </pic:pic>
              </a:graphicData>
            </a:graphic>
          </wp:inline>
        </w:drawing>
      </w:r>
    </w:p>
    <w:p>
      <w:pPr>
        <w:pStyle w:val="Heading1"/>
        <w:bidi w:val="0"/>
        <w:spacing w:before="180" w:after="100"/>
        <w:jc w:val="left"/>
        <w:rPr/>
      </w:pPr>
      <w:r>
        <w:rPr/>
        <w:t>Task 5.6: Autonomy Targets and Recommendations</w:t>
      </w:r>
    </w:p>
    <w:p>
      <w:pPr>
        <w:pStyle w:val="Normal"/>
        <w:bidi w:val="0"/>
        <w:spacing w:lineRule="auto" w:line="300" w:before="0" w:after="140"/>
        <w:jc w:val="left"/>
        <w:rPr/>
      </w:pPr>
      <w:r>
        <w:rPr/>
        <w:t>The exported autonomy table operationalizes autonomy through relay readiness, the share of DC-to-DC moves needing relay support, and the degree of dual-role hub reuse. By 2030 relay readiness is 69.28%, DC-to-DC relay dependence is 83.33%, and 92.94% of peri-urban hubs are serving a dual role. That supports a lower autonomy requirement than in the non-PI network because the design allows inter-DC support and relay continuity.</w:t>
      </w:r>
    </w:p>
    <w:p>
      <w:pPr>
        <w:pStyle w:val="Normal"/>
        <w:bidi w:val="0"/>
        <w:spacing w:lineRule="auto" w:line="300" w:before="0" w:after="140"/>
        <w:jc w:val="left"/>
        <w:rPr/>
      </w:pPr>
      <w:r>
        <w:rPr/>
        <w:t>Inference from the implemented network: a reasonable lower bound is roughly 1.5 to 2 days of autonomy at about 90% robustness for the network core, while a reasonable upper bound is 4 to 5 days at about 99% robustness for tail protection. A practical recommended target is 2 days at 95% robustness for Koeln and Lodz, and 3 days at 95% robustness for Rome and Madrid because their port ingress and downstream route profiles are longer. Relative to the non-PI scenario, these targets are lower because the PI network explicitly supports cross-network buffering and rebalancing.</w:t>
      </w:r>
    </w:p>
    <w:p>
      <w:pPr>
        <w:pStyle w:val="Caption"/>
        <w:bidi w:val="0"/>
        <w:spacing w:before="40" w:after="60"/>
        <w:jc w:val="left"/>
        <w:rPr/>
      </w:pPr>
      <w:r>
        <w:rPr/>
        <w:t>Figure 6. Autonomy and relay-readiness summary.</w:t>
      </w:r>
    </w:p>
    <w:p>
      <w:pPr>
        <w:pStyle w:val="ImageBlock"/>
        <w:bidi w:val="0"/>
        <w:spacing w:before="0" w:after="160"/>
        <w:jc w:val="center"/>
        <w:rPr/>
      </w:pPr>
      <w:r>
        <w:rPr/>
        <w:drawing>
          <wp:inline distT="0" distB="0" distL="0" distR="0">
            <wp:extent cx="5760720" cy="2799080"/>
            <wp:effectExtent l="0" t="0" r="0" b="0"/>
            <wp:docPr id="12" name="fig_5_6_autonom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5_6_autonomy.png"/>
                    <pic:cNvPicPr>
                      <a:picLocks noChangeAspect="1" noChangeArrowheads="1"/>
                    </pic:cNvPicPr>
                  </pic:nvPicPr>
                  <pic:blipFill>
                    <a:blip r:embed="rId13"/>
                    <a:stretch>
                      <a:fillRect/>
                    </a:stretch>
                  </pic:blipFill>
                  <pic:spPr bwMode="auto">
                    <a:xfrm>
                      <a:off x="0" y="0"/>
                      <a:ext cx="5760720" cy="2799080"/>
                    </a:xfrm>
                    <a:prstGeom prst="rect">
                      <a:avLst/>
                    </a:prstGeom>
                    <a:noFill/>
                  </pic:spPr>
                </pic:pic>
              </a:graphicData>
            </a:graphic>
          </wp:inline>
        </w:drawing>
      </w:r>
    </w:p>
    <w:p>
      <w:pPr>
        <w:pStyle w:val="Heading1"/>
        <w:bidi w:val="0"/>
        <w:spacing w:before="180" w:after="100"/>
        <w:jc w:val="left"/>
        <w:rPr/>
      </w:pPr>
      <w:r>
        <w:rPr/>
        <w:t>Task 5.7: Simulator Adaptation</w:t>
      </w:r>
    </w:p>
    <w:p>
      <w:pPr>
        <w:pStyle w:val="Normal"/>
        <w:bidi w:val="0"/>
        <w:spacing w:lineRule="auto" w:line="300" w:before="0" w:after="140"/>
        <w:jc w:val="left"/>
        <w:rPr/>
      </w:pPr>
      <w:r>
        <w:rPr/>
        <w:t>The non-PI simulator was adapted by keeping the Task 4-style daily demand kernel but replacing the service logic with a PI route-aware service matrix. The updated pipeline activates the yearly network, builds routes, converts route elapsed time into purchase probability, simulates DC-level daily demand with cyber-week seasonality, and then feeds those daily flows into DC sizing, cost, carbon, and profitability evaluation. This is a substantive change from a simple DC-based demand model because purchase and flow assignment now depend on actual route structure.</w:t>
      </w:r>
    </w:p>
    <w:p>
      <w:pPr>
        <w:pStyle w:val="Normal"/>
        <w:bidi w:val="0"/>
        <w:spacing w:lineRule="auto" w:line="300" w:before="0" w:after="140"/>
        <w:jc w:val="left"/>
        <w:rPr/>
      </w:pPr>
      <w:r>
        <w:rPr/>
        <w:t>The major PI-specific mechanisms are the route-backed service matrix, the relay and consolidation dwell-time logic, the ability to represent DC-to-DC transfers, and the conversion of OTD into realized demand by service class. That makes the simulator suitable for Tasks 5.1 to 5.4 and 5.6, which is exactly how the case frames its role.</w:t>
      </w:r>
    </w:p>
    <w:p>
      <w:pPr>
        <w:pStyle w:val="Heading1"/>
        <w:bidi w:val="0"/>
        <w:spacing w:before="180" w:after="100"/>
        <w:jc w:val="left"/>
        <w:rPr/>
      </w:pPr>
      <w:r>
        <w:rPr/>
        <w:t>Task 5.8: Validation Using the Proposed Autonomy Logic</w:t>
      </w:r>
    </w:p>
    <w:p>
      <w:pPr>
        <w:pStyle w:val="Normal"/>
        <w:bidi w:val="0"/>
        <w:spacing w:lineRule="auto" w:line="300" w:before="0" w:after="140"/>
        <w:jc w:val="left"/>
        <w:rPr/>
      </w:pPr>
      <w:r>
        <w:rPr/>
        <w:t>Interpreting the PDF's reference to autonomy-target validation as a validation of the autonomy logic from Task 5.6, the current implementation is strongest on structural validation rather than external calibration. Coverage remains above 97% after full rollout, mean detour stays near 1.02, and the route-backed share is about 97% in the mature network. Those are useful checks that the simulated network is behaving coherently.</w:t>
      </w:r>
    </w:p>
    <w:p>
      <w:pPr>
        <w:pStyle w:val="Normal"/>
        <w:bidi w:val="0"/>
        <w:spacing w:lineRule="auto" w:line="300" w:before="0" w:after="140"/>
        <w:jc w:val="left"/>
        <w:rPr/>
      </w:pPr>
      <w:r>
        <w:rPr/>
        <w:t>The DC sizing outputs provide another validation layer. In 2030 the model sizes peak daily throughput at 4,747 units for Koeln, 2,246 for Lodz, 1,495 for Rome, and 965 for Madrid. The saved annual demand intervals show almost no spread under the current configuration, which means the exported uncertainty is low and the model is behaving more like a logic-consistency simulator than a wide-variance Monte Carlo forecast. That is a legitimate modeling choice, but it should be recognized as a limitation.</w:t>
      </w:r>
    </w:p>
    <w:p>
      <w:pPr>
        <w:pStyle w:val="Heading1"/>
        <w:bidi w:val="0"/>
        <w:spacing w:before="180" w:after="100"/>
        <w:jc w:val="left"/>
        <w:rPr/>
      </w:pPr>
      <w:r>
        <w:rPr/>
        <w:t>Task 5.9: Shipments, Trucks, Distance, Cost, and Logistics Load</w:t>
      </w:r>
    </w:p>
    <w:p>
      <w:pPr>
        <w:pStyle w:val="Normal"/>
        <w:bidi w:val="0"/>
        <w:spacing w:lineRule="auto" w:line="300" w:before="0" w:after="140"/>
        <w:jc w:val="left"/>
        <w:rPr/>
      </w:pPr>
      <w:r>
        <w:rPr/>
        <w:t>The 5.9 output quantifies how the PI network scales operationally. In 2030 it handles 540,520 routed flow units, 55,045 truckloads, and 78,853 road-km, at total transport cost EUR 15.1M. Cost per routed unit is EUR 27.99.</w:t>
      </w:r>
    </w:p>
    <w:p>
      <w:pPr>
        <w:pStyle w:val="Normal"/>
        <w:bidi w:val="0"/>
        <w:spacing w:lineRule="auto" w:line="300" w:before="0" w:after="140"/>
        <w:jc w:val="left"/>
        <w:rPr/>
      </w:pPr>
      <w:r>
        <w:rPr/>
        <w:t>From 2027 to 2034 total transport cost rises from EUR 0.8M to EUR 24.4M, but the network footprint is already fixed after 2030, so most of that growth is a volume effect. The operational interpretation is that the PI network is capable of absorbing higher demand after 2030 without needing another major topology redesign.</w:t>
      </w:r>
    </w:p>
    <w:p>
      <w:pPr>
        <w:pStyle w:val="Caption"/>
        <w:bidi w:val="0"/>
        <w:spacing w:before="40" w:after="60"/>
        <w:jc w:val="left"/>
        <w:rPr/>
      </w:pPr>
      <w:r>
        <w:rPr/>
        <w:t>Figure 7. Cost and carbon summary from Task 5.</w:t>
      </w:r>
    </w:p>
    <w:p>
      <w:pPr>
        <w:pStyle w:val="ImageBlock"/>
        <w:bidi w:val="0"/>
        <w:spacing w:before="0" w:after="160"/>
        <w:jc w:val="center"/>
        <w:rPr/>
      </w:pPr>
      <w:r>
        <w:rPr/>
        <w:drawing>
          <wp:inline distT="0" distB="0" distL="0" distR="0">
            <wp:extent cx="5760720" cy="1550035"/>
            <wp:effectExtent l="0" t="0" r="0" b="0"/>
            <wp:docPr id="13" name="fig_5_9_cost_carb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5_9_cost_carbon.png"/>
                    <pic:cNvPicPr>
                      <a:picLocks noChangeAspect="1" noChangeArrowheads="1"/>
                    </pic:cNvPicPr>
                  </pic:nvPicPr>
                  <pic:blipFill>
                    <a:blip r:embed="rId14"/>
                    <a:stretch>
                      <a:fillRect/>
                    </a:stretch>
                  </pic:blipFill>
                  <pic:spPr bwMode="auto">
                    <a:xfrm>
                      <a:off x="0" y="0"/>
                      <a:ext cx="5760720" cy="1550035"/>
                    </a:xfrm>
                    <a:prstGeom prst="rect">
                      <a:avLst/>
                    </a:prstGeom>
                    <a:noFill/>
                  </pic:spPr>
                </pic:pic>
              </a:graphicData>
            </a:graphic>
          </wp:inline>
        </w:drawing>
      </w:r>
    </w:p>
    <w:p>
      <w:pPr>
        <w:pStyle w:val="Heading1"/>
        <w:bidi w:val="0"/>
        <w:spacing w:before="180" w:after="100"/>
        <w:jc w:val="left"/>
        <w:rPr/>
      </w:pPr>
      <w:r>
        <w:rPr/>
        <w:t>Task 5.10: DC Storage, Throughput, Design, and Costing</w:t>
      </w:r>
    </w:p>
    <w:p>
      <w:pPr>
        <w:pStyle w:val="Normal"/>
        <w:bidi w:val="0"/>
        <w:spacing w:lineRule="auto" w:line="300" w:before="0" w:after="140"/>
        <w:jc w:val="left"/>
        <w:rPr/>
      </w:pPr>
      <w:r>
        <w:rPr/>
        <w:t>The saved 5.10 artifacts explicitly size the Euro DCs. In 2030 the approximate annual demand allocation is DE koeln mean 109,711 units; ES madrid mean 22,305 units; IT rome mean 34,545 units; PL lodz mean 51,905 units. The resulting peak-throughput sizing is 1,584 pallet-throughput capacity for Koeln, 750 for Lodz, 500 for Rome, and 322 for Madrid, with corresponding storage positions of 702, 332, 221, and 143.</w:t>
      </w:r>
    </w:p>
    <w:p>
      <w:pPr>
        <w:pStyle w:val="Normal"/>
        <w:bidi w:val="0"/>
        <w:spacing w:lineRule="auto" w:line="300" w:before="0" w:after="140"/>
        <w:jc w:val="left"/>
        <w:rPr/>
      </w:pPr>
      <w:r>
        <w:rPr/>
        <w:t>The annual Euro-DC cost estimates are DE koeln EUR 1.2M; ES madrid EUR 0.7M; IT rome EUR 0.8M; PL lodz EUR 0.9M. The exported table does not provide a separate Savannah design sheet in the same format; Savannah is represented more indirectly through the port, transload, and total profitability cost blocks. That means the Euro-DC sizing result is explicit, while the Savannah side is embedded in the broader network-cost structure rather than in a standalone facility design output.</w:t>
      </w:r>
    </w:p>
    <w:p>
      <w:pPr>
        <w:pStyle w:val="Caption"/>
        <w:bidi w:val="0"/>
        <w:spacing w:before="40" w:after="60"/>
        <w:jc w:val="left"/>
        <w:rPr/>
      </w:pPr>
      <w:r>
        <w:rPr/>
        <w:t>Figure 8. Simulation-backed DC capacity sizing.</w:t>
      </w:r>
    </w:p>
    <w:p>
      <w:pPr>
        <w:pStyle w:val="ImageBlock"/>
        <w:bidi w:val="0"/>
        <w:spacing w:before="0" w:after="160"/>
        <w:jc w:val="center"/>
        <w:rPr/>
      </w:pPr>
      <w:r>
        <w:rPr/>
        <w:drawing>
          <wp:inline distT="0" distB="0" distL="0" distR="0">
            <wp:extent cx="5760720" cy="1999615"/>
            <wp:effectExtent l="0" t="0" r="0" b="0"/>
            <wp:docPr id="14" name="fig_5_10_dc_capa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_5_10_dc_capacity.png"/>
                    <pic:cNvPicPr>
                      <a:picLocks noChangeAspect="1" noChangeArrowheads="1"/>
                    </pic:cNvPicPr>
                  </pic:nvPicPr>
                  <pic:blipFill>
                    <a:blip r:embed="rId15"/>
                    <a:stretch>
                      <a:fillRect/>
                    </a:stretch>
                  </pic:blipFill>
                  <pic:spPr bwMode="auto">
                    <a:xfrm>
                      <a:off x="0" y="0"/>
                      <a:ext cx="5760720" cy="1999615"/>
                    </a:xfrm>
                    <a:prstGeom prst="rect">
                      <a:avLst/>
                    </a:prstGeom>
                    <a:noFill/>
                  </pic:spPr>
                </pic:pic>
              </a:graphicData>
            </a:graphic>
          </wp:inline>
        </w:drawing>
      </w:r>
    </w:p>
    <w:p>
      <w:pPr>
        <w:pStyle w:val="Heading1"/>
        <w:bidi w:val="0"/>
        <w:spacing w:before="180" w:after="100"/>
        <w:jc w:val="left"/>
        <w:rPr/>
      </w:pPr>
      <w:r>
        <w:rPr/>
        <w:t>Task 5.11: Transload Center Load and Cost</w:t>
      </w:r>
    </w:p>
    <w:p>
      <w:pPr>
        <w:pStyle w:val="Normal"/>
        <w:bidi w:val="0"/>
        <w:spacing w:lineRule="auto" w:line="300" w:before="0" w:after="140"/>
        <w:jc w:val="left"/>
        <w:rPr/>
      </w:pPr>
      <w:r>
        <w:rPr/>
        <w:t>The PI model assumes two transload centers, one in Savannah and one in Rotterdam, with EUR 1.5 per unit at each center, or EUR 3.0 total per unit crossing both. In 2030 this yields total transload cost of EUR 0.7M. Using the same EUR 3.0-per-unit rule, the 2034 transload burden is about EUR 1.0M. This is a clean cost structure, but it also means the transload analysis is driven mainly by total PI volume rather than by a differentiated queueing model at the ports.</w:t>
      </w:r>
    </w:p>
    <w:p>
      <w:pPr>
        <w:pStyle w:val="Heading1"/>
        <w:bidi w:val="0"/>
        <w:spacing w:before="180" w:after="100"/>
        <w:jc w:val="left"/>
        <w:rPr/>
      </w:pPr>
      <w:r>
        <w:rPr/>
        <w:t>Task 5.12: Total Demand, Revenue, Cost, and Profitability</w:t>
      </w:r>
    </w:p>
    <w:p>
      <w:pPr>
        <w:pStyle w:val="Normal"/>
        <w:bidi w:val="0"/>
        <w:spacing w:lineRule="auto" w:line="300" w:before="0" w:after="140"/>
        <w:jc w:val="left"/>
        <w:rPr/>
      </w:pPr>
      <w:r>
        <w:rPr/>
        <w:t>In 2030 the PI network delivers 218,466 units and EUR 99.1M of revenue. Total PI cost is EUR 24.1M, composed primarily of transport, last-mile, DC, p-pack, transload, and hub logistics charges. The resulting margin is EUR 75.0M, or 75.69%.</w:t>
      </w:r>
    </w:p>
    <w:p>
      <w:pPr>
        <w:pStyle w:val="Normal"/>
        <w:bidi w:val="0"/>
        <w:spacing w:lineRule="auto" w:line="300" w:before="0" w:after="140"/>
        <w:jc w:val="left"/>
        <w:rPr/>
      </w:pPr>
      <w:r>
        <w:rPr/>
        <w:t>By 2034 the comparison horizon still shows 335,411 realized units and EUR 152.1M of revenue, with network-scope margin of EUR 115.3M. The detailed profitability export currently on disk is 2030-only, but the horizon comparison still supports the conclusion that profitability stays strong after the network matures because later growth exploits the same relay and hub structure rather than expanding it again.</w:t>
      </w:r>
    </w:p>
    <w:p>
      <w:pPr>
        <w:pStyle w:val="Caption"/>
        <w:bidi w:val="0"/>
        <w:spacing w:before="40" w:after="60"/>
        <w:jc w:val="left"/>
        <w:rPr/>
      </w:pPr>
      <w:r>
        <w:rPr/>
        <w:t>Figure 9. PI profitability by year.</w:t>
      </w:r>
    </w:p>
    <w:p>
      <w:pPr>
        <w:pStyle w:val="ImageBlock"/>
        <w:bidi w:val="0"/>
        <w:spacing w:before="0" w:after="160"/>
        <w:jc w:val="center"/>
        <w:rPr/>
      </w:pPr>
      <w:r>
        <w:rPr/>
        <w:drawing>
          <wp:inline distT="0" distB="0" distL="0" distR="0">
            <wp:extent cx="5760720" cy="1999615"/>
            <wp:effectExtent l="0" t="0" r="0" b="0"/>
            <wp:docPr id="15" name="fig_5_12_profit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_5_12_profitability.png"/>
                    <pic:cNvPicPr>
                      <a:picLocks noChangeAspect="1" noChangeArrowheads="1"/>
                    </pic:cNvPicPr>
                  </pic:nvPicPr>
                  <pic:blipFill>
                    <a:blip r:embed="rId16"/>
                    <a:stretch>
                      <a:fillRect/>
                    </a:stretch>
                  </pic:blipFill>
                  <pic:spPr bwMode="auto">
                    <a:xfrm>
                      <a:off x="0" y="0"/>
                      <a:ext cx="5760720" cy="1999615"/>
                    </a:xfrm>
                    <a:prstGeom prst="rect">
                      <a:avLst/>
                    </a:prstGeom>
                    <a:noFill/>
                  </pic:spPr>
                </pic:pic>
              </a:graphicData>
            </a:graphic>
          </wp:inline>
        </w:drawing>
      </w:r>
    </w:p>
    <w:p>
      <w:pPr>
        <w:pStyle w:val="Heading1"/>
        <w:bidi w:val="0"/>
        <w:spacing w:before="180" w:after="100"/>
        <w:jc w:val="left"/>
        <w:rPr/>
      </w:pPr>
      <w:r>
        <w:rPr/>
        <w:t>Task 5.13: Energy Use and Greenhouse Gas Emissions</w:t>
      </w:r>
    </w:p>
    <w:p>
      <w:pPr>
        <w:pStyle w:val="Normal"/>
        <w:bidi w:val="0"/>
        <w:spacing w:lineRule="auto" w:line="300" w:before="0" w:after="140"/>
        <w:jc w:val="left"/>
        <w:rPr/>
      </w:pPr>
      <w:r>
        <w:rPr/>
        <w:t>The implementation quantifies emissions directly using truck-class distance factors and reports the result as CO2. In 2030 the network emits 6,901,220 kg CO2, or 12.77 kg per routed unit. By 2034 the total rises to 11,202,802 kg CO2.</w:t>
      </w:r>
    </w:p>
    <w:p>
      <w:pPr>
        <w:pStyle w:val="Normal"/>
        <w:bidi w:val="0"/>
        <w:spacing w:lineRule="auto" w:line="300" w:before="0" w:after="140"/>
        <w:jc w:val="left"/>
        <w:rPr/>
      </w:pPr>
      <w:r>
        <w:rPr/>
        <w:t>Strictly speaking, the repo's saved Task 5 outputs export emissions rather than a separate fuel or energy field. The energy logic is therefore embedded in the truck-distance emission methodology rather than reported as a standalone liters or kWh measure. For this report, the greenhouse-gas estimate is the directly supported answer from the model outputs.</w:t>
      </w:r>
    </w:p>
    <w:p>
      <w:pPr>
        <w:pStyle w:val="Caption"/>
        <w:bidi w:val="0"/>
        <w:spacing w:before="40" w:after="60"/>
        <w:jc w:val="left"/>
        <w:rPr/>
      </w:pPr>
      <w:r>
        <w:rPr/>
        <w:t>Figure 10. Lane-level carbon view for the PI network.</w:t>
      </w:r>
    </w:p>
    <w:p>
      <w:pPr>
        <w:pStyle w:val="ImageBlock"/>
        <w:bidi w:val="0"/>
        <w:spacing w:before="0" w:after="160"/>
        <w:jc w:val="center"/>
        <w:rPr/>
      </w:pPr>
      <w:r>
        <w:rPr/>
        <w:drawing>
          <wp:inline distT="0" distB="0" distL="0" distR="0">
            <wp:extent cx="5760720" cy="2486025"/>
            <wp:effectExtent l="0" t="0" r="0" b="0"/>
            <wp:docPr id="16" name="fig_5_9_carbon_by_la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_5_9_carbon_by_lane.png"/>
                    <pic:cNvPicPr>
                      <a:picLocks noChangeAspect="1" noChangeArrowheads="1"/>
                    </pic:cNvPicPr>
                  </pic:nvPicPr>
                  <pic:blipFill>
                    <a:blip r:embed="rId17"/>
                    <a:stretch>
                      <a:fillRect/>
                    </a:stretch>
                  </pic:blipFill>
                  <pic:spPr bwMode="auto">
                    <a:xfrm>
                      <a:off x="0" y="0"/>
                      <a:ext cx="5760720" cy="2486025"/>
                    </a:xfrm>
                    <a:prstGeom prst="rect">
                      <a:avLst/>
                    </a:prstGeom>
                    <a:noFill/>
                  </pic:spPr>
                </pic:pic>
              </a:graphicData>
            </a:graphic>
          </wp:inline>
        </w:drawing>
      </w:r>
    </w:p>
    <w:p>
      <w:pPr>
        <w:pStyle w:val="Heading1"/>
        <w:bidi w:val="0"/>
        <w:spacing w:before="180" w:after="100"/>
        <w:jc w:val="left"/>
        <w:rPr/>
      </w:pPr>
      <w:r>
        <w:rPr/>
        <w:t>Task 5.14: Contrast with the Non-PI Task 4 Network</w:t>
      </w:r>
    </w:p>
    <w:p>
      <w:pPr>
        <w:pStyle w:val="Normal"/>
        <w:bidi w:val="0"/>
        <w:spacing w:lineRule="auto" w:line="300" w:before="0" w:after="140"/>
        <w:jc w:val="left"/>
        <w:rPr/>
      </w:pPr>
      <w:r>
        <w:rPr/>
        <w:t>The matched comparison is the strongest argument for the PI scenario. In 2030 realized demand rises from 73,403 units in the old network to 218,466 units in the PI network, a 197.6% uplift. Transport cost per unit falls from EUR 354.05 to EUR 69.26, while matched network-scope cost per unit falls from EUR 1084.48 to EUR 110.29.</w:t>
      </w:r>
    </w:p>
    <w:p>
      <w:pPr>
        <w:pStyle w:val="Normal"/>
        <w:bidi w:val="0"/>
        <w:spacing w:lineRule="auto" w:line="300" w:before="0" w:after="140"/>
        <w:jc w:val="left"/>
        <w:rPr/>
      </w:pPr>
      <w:r>
        <w:rPr/>
        <w:t>Across the full 2027-2034 horizon, PI delivers 201.5% more realized units, 78.2% lower transport cost per unit, and 88.2% lower matched network-scope cost per unit. It also cuts shipping intensity by 94.8%. The tradeoff is orchestration complexity: in 2030 the remaining gaps are a 2.60 percentage-point coverage shortfall, 30.7% of the relay mesh not fully ready, and a 16.74-hour mean-to-p95 service tail spread.</w:t>
      </w:r>
    </w:p>
    <w:p>
      <w:pPr>
        <w:pStyle w:val="Caption"/>
        <w:bidi w:val="0"/>
        <w:spacing w:before="40" w:after="60"/>
        <w:jc w:val="left"/>
        <w:rPr/>
      </w:pPr>
      <w:r>
        <w:rPr/>
        <w:t>Figure 11. Matched yearly KPI comparison: PI versus old network.</w:t>
      </w:r>
    </w:p>
    <w:p>
      <w:pPr>
        <w:pStyle w:val="ImageBlock"/>
        <w:bidi w:val="0"/>
        <w:spacing w:before="0" w:after="160"/>
        <w:jc w:val="center"/>
        <w:rPr/>
      </w:pPr>
      <w:r>
        <w:rPr/>
        <w:drawing>
          <wp:inline distT="0" distB="0" distL="0" distR="0">
            <wp:extent cx="5760720" cy="3719830"/>
            <wp:effectExtent l="0" t="0" r="0" b="0"/>
            <wp:docPr id="17" name="pi_vs_old_performance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_vs_old_performance_overview.png"/>
                    <pic:cNvPicPr>
                      <a:picLocks noChangeAspect="1" noChangeArrowheads="1"/>
                    </pic:cNvPicPr>
                  </pic:nvPicPr>
                  <pic:blipFill>
                    <a:blip r:embed="rId18"/>
                    <a:stretch>
                      <a:fillRect/>
                    </a:stretch>
                  </pic:blipFill>
                  <pic:spPr bwMode="auto">
                    <a:xfrm>
                      <a:off x="0" y="0"/>
                      <a:ext cx="5760720" cy="3719830"/>
                    </a:xfrm>
                    <a:prstGeom prst="rect">
                      <a:avLst/>
                    </a:prstGeom>
                    <a:noFill/>
                  </pic:spPr>
                </pic:pic>
              </a:graphicData>
            </a:graphic>
          </wp:inline>
        </w:drawing>
      </w:r>
    </w:p>
    <w:p>
      <w:pPr>
        <w:pStyle w:val="Caption"/>
        <w:bidi w:val="0"/>
        <w:spacing w:before="40" w:after="60"/>
        <w:jc w:val="left"/>
        <w:rPr/>
      </w:pPr>
      <w:r>
        <w:rPr/>
        <w:t>Figure 12. Efficiency frontier comparison: cost per unit versus realized demand.</w:t>
      </w:r>
    </w:p>
    <w:p>
      <w:pPr>
        <w:pStyle w:val="ImageBlock"/>
        <w:bidi w:val="0"/>
        <w:spacing w:before="0" w:after="160"/>
        <w:jc w:val="center"/>
        <w:rPr/>
      </w:pPr>
      <w:r>
        <w:rPr/>
        <w:drawing>
          <wp:inline distT="0" distB="0" distL="0" distR="0">
            <wp:extent cx="5760720" cy="3860800"/>
            <wp:effectExtent l="0" t="0" r="0" b="0"/>
            <wp:docPr id="18" name="pi_vs_old_efficiency_fronti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_vs_old_efficiency_frontier.png"/>
                    <pic:cNvPicPr>
                      <a:picLocks noChangeAspect="1" noChangeArrowheads="1"/>
                    </pic:cNvPicPr>
                  </pic:nvPicPr>
                  <pic:blipFill>
                    <a:blip r:embed="rId19"/>
                    <a:stretch>
                      <a:fillRect/>
                    </a:stretch>
                  </pic:blipFill>
                  <pic:spPr bwMode="auto">
                    <a:xfrm>
                      <a:off x="0" y="0"/>
                      <a:ext cx="5760720" cy="3860800"/>
                    </a:xfrm>
                    <a:prstGeom prst="rect">
                      <a:avLst/>
                    </a:prstGeom>
                    <a:noFill/>
                  </pic:spPr>
                </pic:pic>
              </a:graphicData>
            </a:graphic>
          </wp:inline>
        </w:drawing>
      </w:r>
    </w:p>
    <w:p>
      <w:pPr>
        <w:pStyle w:val="Caption"/>
        <w:bidi w:val="0"/>
        <w:spacing w:before="40" w:after="60"/>
        <w:jc w:val="left"/>
        <w:rPr/>
      </w:pPr>
      <w:r>
        <w:rPr/>
        <w:t>Figure 13. Shipping intensity and DC-load comparison.</w:t>
      </w:r>
    </w:p>
    <w:p>
      <w:pPr>
        <w:pStyle w:val="ImageBlock"/>
        <w:bidi w:val="0"/>
        <w:spacing w:before="0" w:after="160"/>
        <w:jc w:val="center"/>
        <w:rPr/>
      </w:pPr>
      <w:r>
        <w:rPr/>
        <w:drawing>
          <wp:inline distT="0" distB="0" distL="0" distR="0">
            <wp:extent cx="5760720" cy="2330450"/>
            <wp:effectExtent l="0" t="0" r="0" b="0"/>
            <wp:docPr id="19" name="pi_vs_old_shipping_and_dc_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_vs_old_shipping_and_dc_load.png"/>
                    <pic:cNvPicPr>
                      <a:picLocks noChangeAspect="1" noChangeArrowheads="1"/>
                    </pic:cNvPicPr>
                  </pic:nvPicPr>
                  <pic:blipFill>
                    <a:blip r:embed="rId20"/>
                    <a:stretch>
                      <a:fillRect/>
                    </a:stretch>
                  </pic:blipFill>
                  <pic:spPr bwMode="auto">
                    <a:xfrm>
                      <a:off x="0" y="0"/>
                      <a:ext cx="5760720" cy="2330450"/>
                    </a:xfrm>
                    <a:prstGeom prst="rect">
                      <a:avLst/>
                    </a:prstGeom>
                    <a:noFill/>
                  </pic:spPr>
                </pic:pic>
              </a:graphicData>
            </a:graphic>
          </wp:inline>
        </w:drawing>
      </w:r>
    </w:p>
    <w:p>
      <w:pPr>
        <w:pStyle w:val="Caption"/>
        <w:bidi w:val="0"/>
        <w:spacing w:before="40" w:after="60"/>
        <w:jc w:val="left"/>
        <w:rPr/>
      </w:pPr>
      <w:r>
        <w:rPr/>
        <w:t>Figure 14. Tradeoff overview for the PI network.</w:t>
      </w:r>
    </w:p>
    <w:p>
      <w:pPr>
        <w:pStyle w:val="ImageBlock"/>
        <w:bidi w:val="0"/>
        <w:spacing w:before="0" w:after="160"/>
        <w:jc w:val="center"/>
        <w:rPr/>
      </w:pPr>
      <w:r>
        <w:rPr/>
        <w:drawing>
          <wp:inline distT="0" distB="0" distL="0" distR="0">
            <wp:extent cx="5760720" cy="3719830"/>
            <wp:effectExtent l="0" t="0" r="0" b="0"/>
            <wp:docPr id="20" name="pi_tradeoff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_tradeoff_overview.png"/>
                    <pic:cNvPicPr>
                      <a:picLocks noChangeAspect="1" noChangeArrowheads="1"/>
                    </pic:cNvPicPr>
                  </pic:nvPicPr>
                  <pic:blipFill>
                    <a:blip r:embed="rId21"/>
                    <a:stretch>
                      <a:fillRect/>
                    </a:stretch>
                  </pic:blipFill>
                  <pic:spPr bwMode="auto">
                    <a:xfrm>
                      <a:off x="0" y="0"/>
                      <a:ext cx="5760720" cy="3719830"/>
                    </a:xfrm>
                    <a:prstGeom prst="rect">
                      <a:avLst/>
                    </a:prstGeom>
                    <a:noFill/>
                  </pic:spPr>
                </pic:pic>
              </a:graphicData>
            </a:graphic>
          </wp:inline>
        </w:drawing>
      </w:r>
    </w:p>
    <w:p>
      <w:pPr>
        <w:pStyle w:val="Heading1"/>
        <w:bidi w:val="0"/>
        <w:spacing w:before="180" w:after="100"/>
        <w:jc w:val="left"/>
        <w:rPr/>
      </w:pPr>
      <w:r>
        <w:rPr/>
        <w:t>Task 5.15: Should BotWorld Relax the Rotterdam-Only Rule?</w:t>
      </w:r>
    </w:p>
    <w:p>
      <w:pPr>
        <w:pStyle w:val="Normal"/>
        <w:bidi w:val="0"/>
        <w:spacing w:lineRule="auto" w:line="300" w:before="0" w:after="140"/>
        <w:jc w:val="left"/>
        <w:rPr/>
      </w:pPr>
      <w:r>
        <w:rPr/>
        <w:t>Inference from the current model: probably yes, but conditionally. The current Task 5 implementation routes all transatlantic flows through Rotterdam, so it does not simulate a competing-port scenario directly. However, the mature network still shows Rotterdam-to-Madrid drive time of about 17.09h and Rotterdam-to-Rome drive time of about 15.23h before downstream market distribution begins. That suggests southern and western markets are carrying a meaningful inland penalty under the Rotterdam-only rule.</w:t>
      </w:r>
    </w:p>
    <w:p>
      <w:pPr>
        <w:pStyle w:val="Normal"/>
        <w:bidi w:val="0"/>
        <w:spacing w:lineRule="auto" w:line="300" w:before="0" w:after="140"/>
        <w:jc w:val="left"/>
        <w:rPr/>
      </w:pPr>
      <w:r>
        <w:rPr/>
        <w:t>A reasonable strategic recommendation is therefore to treat Rotterdam as the anchor port for the northwestern and central network, but to test optional Mediterranean or Iberian entry ports for the Rome, Madrid, and later southeastern demand basins. The benefit is plausible because the PI network is already designed to exploit open ports and flexible downstream hub routing. The main caution is that this claim is an inference from route geometry and current cost structure, not a separately simulated port-choice optimization in the saved repo outputs.</w:t>
      </w:r>
    </w:p>
    <w:sectPr>
      <w:type w:val="nextPage"/>
      <w:pgSz w:w="12240" w:h="15840"/>
      <w:pgMar w:left="1080" w:right="1080" w:gutter="0" w:header="0" w:top="1080" w:footer="0"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sz w:val="22"/>
        <w:lang w:val="en-US" w:eastAsia="zh-CN" w:bidi="hi-IN"/>
      </w:rPr>
    </w:rPrDefault>
    <w:pPrDefault>
      <w:pPr>
        <w:suppressAutoHyphens w:val="true"/>
      </w:pPr>
    </w:pPrDefault>
  </w:docDefaults>
  <w:style w:type="paragraph" w:styleId="Normal" w:default="1">
    <w:name w:val="Normal"/>
    <w:qFormat/>
    <w:pPr>
      <w:widowControl w:val="false"/>
      <w:bidi w:val="0"/>
      <w:spacing w:lineRule="auto" w:line="300" w:before="0" w:after="140"/>
    </w:pPr>
    <w:rPr>
      <w:rFonts w:ascii="Calibri" w:hAnsi="Calibri" w:eastAsia="Noto Serif CJK SC" w:cs="Noto Sans Devanagari"/>
      <w:color w:val="auto"/>
      <w:kern w:val="0"/>
      <w:sz w:val="22"/>
      <w:szCs w:val="20"/>
      <w:lang w:val="en-US" w:eastAsia="zh-CN" w:bidi="hi-IN"/>
    </w:rPr>
  </w:style>
  <w:style w:type="paragraph" w:styleId="Heading1">
    <w:name w:val="heading 1"/>
    <w:basedOn w:val="Normal"/>
    <w:qFormat/>
    <w:pPr>
      <w:spacing w:before="180" w:after="100"/>
    </w:pPr>
    <w:rPr>
      <w:b/>
      <w:sz w:val="26"/>
    </w:rPr>
  </w:style>
  <w:style w:type="paragraph" w:styleId="Heading2">
    <w:name w:val="heading 2"/>
    <w:basedOn w:val="Normal"/>
    <w:qFormat/>
    <w:pPr>
      <w:spacing w:before="120" w:after="40"/>
    </w:pPr>
    <w:rPr>
      <w:b/>
      <w:sz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pacing w:before="40" w:after="60"/>
    </w:pPr>
    <w:rPr>
      <w:i/>
      <w:sz w:val="18"/>
    </w:rPr>
  </w:style>
  <w:style w:type="paragraph" w:styleId="Index">
    <w:name w:val="Index"/>
    <w:basedOn w:val="Normal"/>
    <w:qFormat/>
    <w:pPr>
      <w:suppressLineNumbers/>
    </w:pPr>
    <w:rPr>
      <w:rFonts w:cs="Noto Sans Devanagari"/>
    </w:rPr>
  </w:style>
  <w:style w:type="paragraph" w:styleId="Title">
    <w:name w:val="Title"/>
    <w:basedOn w:val="Normal"/>
    <w:qFormat/>
    <w:pPr>
      <w:spacing w:before="0" w:after="220"/>
      <w:jc w:val="center"/>
    </w:pPr>
    <w:rPr>
      <w:b/>
      <w:sz w:val="30"/>
    </w:rPr>
  </w:style>
  <w:style w:type="paragraph" w:styleId="SpecLine">
    <w:name w:val="SpecLine"/>
    <w:basedOn w:val="Normal"/>
    <w:qFormat/>
    <w:pPr>
      <w:spacing w:before="0" w:after="90"/>
    </w:pPr>
    <w:rPr>
      <w:b/>
    </w:rPr>
  </w:style>
  <w:style w:type="paragraph" w:styleId="Bullet">
    <w:name w:val="Bullet"/>
    <w:basedOn w:val="Normal"/>
    <w:qFormat/>
    <w:pPr>
      <w:spacing w:lineRule="auto" w:line="262" w:before="0" w:after="40"/>
      <w:ind w:hanging="180" w:left="360"/>
    </w:pPr>
    <w:rPr/>
  </w:style>
  <w:style w:type="paragraph" w:styleId="Formula">
    <w:name w:val="Formula"/>
    <w:basedOn w:val="Normal"/>
    <w:qFormat/>
    <w:pPr>
      <w:spacing w:before="20" w:after="60"/>
      <w:ind w:left="540"/>
    </w:pPr>
    <w:rPr>
      <w:rFonts w:ascii="Consolas" w:hAnsi="Consolas"/>
      <w:sz w:val="20"/>
    </w:rPr>
  </w:style>
  <w:style w:type="paragraph" w:styleId="ImageBlock">
    <w:name w:val="ImageBlock"/>
    <w:basedOn w:val="Normal"/>
    <w:qFormat/>
    <w:pPr>
      <w:spacing w:before="0" w:after="160"/>
      <w:jc w:val="cen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LibreOffice/25.8.5.2$Linux_X86_64 LibreOffice_project/252c20f6956e3db0b52e6e2f9dda67263513c8fc</Application>
  <AppVersion>15.0000</AppVersion>
  <Pages>13</Pages>
  <Words>2433</Words>
  <Characters>13129</Characters>
  <CharactersWithSpaces>15476</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2026-03-12T21:40:21Z</dcterms:created>
  <dc:creator>Codex</dc:creator>
  <dc:description/>
  <dc:language>en-US</dc:language>
  <cp:lastModifiedBy/>
  <dcterms:modified xsi:type="dcterms:W3CDTF">2026-03-12T17:44:45Z</dcterms:modified>
  <cp:revision>1</cp:revision>
  <dc:subject/>
  <dc:title>Task 5 Subreport</dc:title>
</cp:coreProperties>
</file>