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pStyle w:val="Title"/>
      </w:pPr>
      <w:r>
        <w:t xml:space="preserve">Task 5 Subreport: PI Hyperconnected Transportation</w:t>
      </w:r>
    </w:p>
    <w:p>
      <w:pPr>
        <w:pStyle w:val="Normal"/>
      </w:pPr>
      <w:r>
        <w:t xml:space="preserve">This subreport addresses the Task 5 case questions on network design, simulation-backed performance, and PI-versus-non-PI comparison. The writeup uses the case PDF, the Task 5 notebook and source pipeline, and the final CSV and figure outputs stored under Task5/output and comparison/.</w:t>
      </w:r>
    </w:p>
    <w:p>
      <w:pPr>
        <w:pStyle w:val="Heading1"/>
      </w:pPr>
      <w:r>
        <w:t xml:space="preserve">Network Design</w:t>
      </w:r>
    </w:p>
    <w:p>
      <w:pPr>
        <w:pStyle w:val="Normal"/>
      </w:pPr>
      <w:r>
        <w:t xml:space="preserve">The implemented design is a phased multi-tier network. Rotterdam is the fixed port entry; Euro DCs open from 2027 to 2030; peri-urban hubs are created from the metro-city layer; and non-metro demand centroids are kept as sinks for coverage checks. Relay hubs are set algorithmically whenever a DC-to-market trip exceeds the 11-hour single-driver threshold. Candidate relays are placed at the mid-journey point, clustered within 80 km to avoid hub proliferation, and merged with nearby peri-urban hubs when possible so the network reuses existing nodes instead of adding unnecessary infrastructure.</w:t>
      </w:r>
    </w:p>
    <w:p>
      <w:pPr>
        <w:pStyle w:val="Normal"/>
      </w:pPr>
      <w:r>
        <w:t xml:space="preserve">Lane generation follows the same logic as the case brief: port-to-DC trunk legs, DC-to-DC transfer links, direct DC-to-hub lanes for markets within four driving hours, DC-to-relay lanes for long-haul coverage, relay-to-hub feeder legs, and short hub corridors. Routes are then chosen by shortest elapsed time, not just distance, using one hour of dwell at relay-only stops and two hours at consolidation-capable hubs. This gives a defensible layered design that prioritizes daily flow, relay feasibility, and low detour. By 2030 the network stabilizes at 4 DCs, 269 peri-urban hubs, 167 relay hubs, and 8,151 active lanes, with mean detour held to 1.021.</w:t>
      </w:r>
    </w:p>
    <w:p>
      <w:pPr>
        <w:pStyle w:val="Caption"/>
      </w:pPr>
      <w:r>
        <w:t xml:space="preserve">Figure 1. 2030 Task 5 network map from the final roadmap output.</w:t>
      </w:r>
    </w:p>
    <w:p>
      <w:pPr>
        <w:pStyle w:val="ImageBlock"/>
      </w:pPr>
      <w:r>
        <w:drawing>
          <wp:inline distT="0" distB="0" distL="0" distR="0">
            <wp:extent cx="5760720" cy="4083407"/>
            <wp:docPr id="1" name="fig_5_1_network_map_203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network_map_2030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Simulation Results</w:t>
      </w:r>
    </w:p>
    <w:p>
      <w:pPr>
        <w:pStyle w:val="Normal"/>
      </w:pPr>
      <w:r>
        <w:t xml:space="preserve">The yearly pipeline activates nodes, builds routes, simulates demand and service, sizes DC capacity, and then evaluates cost, carbon, autonomy, and profitability. In 2030 the PI design reaches 97.4% feasible-pair coverage with 69.28% relay readiness. Mean service OTD is 11.45 hours and the p95 is 28.19 hours, which shows the network is fast on average but still carries a long multi-hop tail. Container and packaging logic materially improve transport density: the PI design cuts pallet need by 33.3%, TEU need by 57.9%, and unit cube by 40.0%. In 2030 that reduces ocean loads from 2,838 TEUs to 1,194 TEUs while supporting a PI margin of EUR 75.0M (75.69%).</w:t>
      </w:r>
    </w:p>
    <w:p>
      <w:pPr>
        <w:pStyle w:val="Caption"/>
      </w:pPr>
      <w:r>
        <w:t xml:space="preserve">Figure 2. Monte Carlo OTD output used for Task 5 service assessment.</w:t>
      </w:r>
    </w:p>
    <w:p>
      <w:pPr>
        <w:pStyle w:val="ImageBlock"/>
      </w:pPr>
      <w:r>
        <w:drawing>
          <wp:inline distT="0" distB="0" distL="0" distR="0">
            <wp:extent cx="5760720" cy="1999979"/>
            <wp:docPr id="2" name="fig_5_3_otd_simula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3_otd_simulation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3. Simulation-backed DC capacity sizing across the rollout horizon.</w:t>
      </w:r>
    </w:p>
    <w:p>
      <w:pPr>
        <w:pStyle w:val="ImageBlock"/>
      </w:pPr>
      <w:r>
        <w:drawing>
          <wp:inline distT="0" distB="0" distL="0" distR="0">
            <wp:extent cx="5760720" cy="1999979"/>
            <wp:docPr id="3" name="fig_5_10_dc_capacit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0_dc_capacity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Comparison Against the Old Network</w:t>
      </w:r>
    </w:p>
    <w:p>
      <w:pPr>
        <w:pStyle w:val="Normal"/>
      </w:pPr>
      <w:r>
        <w:t xml:space="preserve">The strongest evidence for the PI design is the matched comparison against the Task 4 old network. In 2030 realized demand rises from 73,403 units to 218,466 units, a 197.6% uplift. Transport cost per unit falls from EUR 354.05 to EUR 69.26, and matched network-scope cost per unit falls from EUR 1084.48 to EUR 110.29, a 89.8% reduction. Across the full 2027-2034 horizon, PI delivers 201.5% more realized units, 78.2% lower transport cost per unit, and 88.2% lower network-scope cost per unit.</w:t>
      </w:r>
    </w:p>
    <w:p>
      <w:pPr>
        <w:pStyle w:val="Normal"/>
      </w:pPr>
      <w:r>
        <w:t xml:space="preserve">The tradeoff is orchestration complexity rather than economics. In 2030 the remaining gaps are a 2.60 percentage-point coverage shortfall to full coverage, 30.7% of the relay mesh not fully ready, and a 16.74-hour gap between mean and p95 service time. These are consistent with a network that wins on reach and unit economics by adding many more operating touchpoints and more multi-hop coordination.</w:t>
      </w:r>
    </w:p>
    <w:p>
      <w:pPr>
        <w:pStyle w:val="Caption"/>
      </w:pPr>
      <w:r>
        <w:t xml:space="preserve">Figure 4. Task 5 versus Task 4 matched KPI comparison.</w:t>
      </w:r>
    </w:p>
    <w:p>
      <w:pPr>
        <w:pStyle w:val="ImageBlock"/>
      </w:pPr>
      <w:r>
        <w:drawing>
          <wp:inline distT="0" distB="0" distL="0" distR="0">
            <wp:extent cx="5760720" cy="3719885"/>
            <wp:docPr id="4" name="pi_vs_old_performance_overview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_vs_old_performance_overvie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  <w:pPr>
      <w:spacing w:after="140" w:line="300" w:lineRule="auto"/>
    </w:pPr>
  </w:style>
  <w:style w:type="paragraph" w:styleId="Title">
    <w:name w:val="Title"/>
    <w:basedOn w:val="Normal"/>
    <w:pPr>
      <w:spacing w:after="220"/>
      <w:jc w:val="center"/>
    </w:pPr>
    <w:rPr>
      <w:b/>
      <w:sz w:val="30"/>
    </w:rPr>
  </w:style>
  <w:style w:type="paragraph" w:styleId="Heading1">
    <w:name w:val="heading 1"/>
    <w:basedOn w:val="Normal"/>
    <w:pPr>
      <w:spacing w:before="180" w:after="100"/>
    </w:pPr>
    <w:rPr>
      <w:b/>
      <w:sz w:val="26"/>
    </w:rPr>
  </w:style>
  <w:style w:type="paragraph" w:styleId="Caption">
    <w:name w:val="Caption"/>
    <w:basedOn w:val="Normal"/>
    <w:pPr>
      <w:spacing w:before="40" w:after="60"/>
    </w:pPr>
    <w:rPr>
      <w:i/>
      <w:sz w:val="18"/>
    </w:rPr>
  </w:style>
  <w:style w:type="paragraph" w:styleId="ImageBlock">
    <w:name w:val="ImageBlock"/>
    <w:basedOn w:val="Normal"/>
    <w:pPr>
      <w:jc w:val="center"/>
      <w:spacing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5 Subreport</dc:title>
  <dc:creator>Codex</dc:creator>
  <cp:lastModifiedBy>Codex</cp:lastModifiedBy>
  <dcterms:created xsi:type="dcterms:W3CDTF">2026-03-12T20:15:14Z</dcterms:created>
  <dcterms:modified xsi:type="dcterms:W3CDTF">2026-03-12T20:15:14Z</dcterms:modified>
</cp:coreProperties>
</file>