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BotWorld Export-to-Europe Supply Chain</w:t>
      </w:r>
    </w:p>
    <w:p>
      <w:pPr>
        <w:jc w:val="center"/>
      </w:pPr>
      <w:r>
        <w:rPr>
          <w:b/>
          <w:sz w:val="28"/>
        </w:rPr>
        <w:t>Task 1: Market Demand Forecast &amp; Scenario Generation</w:t>
      </w:r>
    </w:p>
    <w:p>
      <w:pPr>
        <w:jc w:val="center"/>
      </w:pPr>
      <w:r>
        <w:rPr>
          <w:sz w:val="24"/>
        </w:rPr>
        <w:t>Subreport: Tasks 1.4-1.7</w:t>
      </w:r>
    </w:p>
    <w:p/>
    <w:p/>
    <w:p>
      <w:pPr>
        <w:pStyle w:val="Heading1"/>
        <w:jc w:val="left"/>
      </w:pPr>
      <w:r>
        <w:t>Executive Summary</w:t>
      </w:r>
    </w:p>
    <w:p>
      <w:r>
        <w:t>This subreport documents the development and implementation of a stochastic daily demand simulator for BotWorld's European expansion (2027-2034). The simulator transforms annual market forecasts into daily demand and sales predictions across 273 metropolitan cities and 29 non-metro regions, accounting for seasonal patterns, day-of-week effects, Cyber Week surges, and order-to-delivery (OTD) time sensitivity.</w:t>
      </w:r>
    </w:p>
    <w:p>
      <w:r>
        <w:t>The simulator employs triangular distributions for growth rates and product mix, normal distributions for seasonal patterns, and empirical OTD conversion tables to model customer purchase behavior. Through Monte Carlo simulation, the model generates probabilistic demand scenarios that inform downstream supply chain planning decisions.</w:t>
      </w:r>
    </w:p>
    <w:p>
      <w:r>
        <w:br w:type="page"/>
      </w:r>
    </w:p>
    <w:p>
      <w:pPr>
        <w:pStyle w:val="Heading1"/>
        <w:jc w:val="left"/>
      </w:pPr>
      <w:r>
        <w:t>Task 1.4: Daily Demand Simulator Development</w:t>
      </w:r>
    </w:p>
    <w:p>
      <w:pPr>
        <w:pStyle w:val="Heading2"/>
        <w:jc w:val="left"/>
      </w:pPr>
      <w:r>
        <w:t>1.4.1 Simulator Architecture</w:t>
      </w:r>
    </w:p>
    <w:p>
      <w:r>
        <w:t>The daily demand simulator converts annual population-based forecasts into daily demand patterns for 24 MyBot product models across European markets. The architecture implements a multi-stage stochastic process that preserves statistical properties while generating realistic demand variability.</w:t>
      </w:r>
    </w:p>
    <w:p>
      <w:pPr>
        <w:pStyle w:val="Heading2"/>
        <w:jc w:val="left"/>
      </w:pPr>
      <w:r>
        <w:t>1.4.2 Data Pipeline and Input Structure</w:t>
      </w:r>
    </w:p>
    <w:p>
      <w:r>
        <w:t>The simulator processes the following input data:</w:t>
      </w:r>
    </w:p>
    <w:p>
      <w:pPr>
        <w:pStyle w:val="ListBullet"/>
      </w:pPr>
      <w:r>
        <w:rPr>
          <w:b/>
        </w:rPr>
        <w:t xml:space="preserve">Population Data: </w:t>
      </w:r>
      <w:r>
        <w:t>273 metropolitan cities and 29 countries with 2026 base populations and annual growth rates</w:t>
      </w:r>
    </w:p>
    <w:p>
      <w:pPr>
        <w:pStyle w:val="ListBullet"/>
      </w:pPr>
      <w:r>
        <w:rPr>
          <w:b/>
        </w:rPr>
        <w:t xml:space="preserve">Market Entry Schedule: </w:t>
      </w:r>
      <w:r>
        <w:t>Four deployment waves (2027: 4 countries, 2028: 8 countries, 2029: 7 countries, 2030: 10 countries)</w:t>
      </w:r>
    </w:p>
    <w:p>
      <w:pPr>
        <w:pStyle w:val="ListBullet"/>
      </w:pPr>
      <w:r>
        <w:rPr>
          <w:b/>
        </w:rPr>
        <w:t xml:space="preserve">Product Catalog: </w:t>
      </w:r>
      <w:r>
        <w:t>24 MyBot models across 6 categories (Floor Care, Kitchen Help, Leisure, Safety &amp; Security, Wall &amp; Window, Exterior Care) and 4 capability levels (10, 20, 30, 50)</w:t>
      </w:r>
    </w:p>
    <w:p>
      <w:pPr>
        <w:pStyle w:val="ListBullet"/>
      </w:pPr>
      <w:r>
        <w:rPr>
          <w:b/>
        </w:rPr>
        <w:t xml:space="preserve">Temporal Patterns: </w:t>
      </w:r>
      <w:r>
        <w:t>13 four-week period shares, day-of-week weights, and Cyber Week surge parameters</w:t>
      </w:r>
    </w:p>
    <w:p>
      <w:pPr>
        <w:pStyle w:val="Heading2"/>
        <w:jc w:val="left"/>
      </w:pPr>
      <w:r>
        <w:t>1.4.3 Stochastic Model Components</w:t>
      </w:r>
    </w:p>
    <w:p>
      <w:r>
        <w:t>The simulator implements three independent stochastic components:</w:t>
      </w:r>
    </w:p>
    <w:p/>
    <w:p>
      <w:pPr>
        <w:pStyle w:val="ListNumber"/>
      </w:pPr>
      <w:r>
        <w:rPr>
          <w:b/>
        </w:rPr>
        <w:t>Annual Adoption Rate - Triangular Distribution</w:t>
      </w:r>
    </w:p>
    <w:p>
      <w:r>
        <w:t>For each market-year and simulation run, the adoption rate is drawn from Triangular(pessimistic, most_probable, optimistic) where parameters are derived from scenario functions:</w:t>
      </w:r>
    </w:p>
    <w:p>
      <w:pPr>
        <w:pStyle w:val="ListBullet2"/>
      </w:pPr>
      <w:r>
        <w:t xml:space="preserve">   • Year 1: Triangular(0.02%, 0.025%, 0.05%)</w:t>
      </w:r>
    </w:p>
    <w:p>
      <w:pPr>
        <w:pStyle w:val="ListBullet2"/>
      </w:pPr>
      <w:r>
        <w:t xml:space="preserve">   • Year 2: Triangular(0.03%, 0.045%, 0.075%)</w:t>
      </w:r>
    </w:p>
    <w:p>
      <w:pPr>
        <w:pStyle w:val="ListBullet2"/>
      </w:pPr>
      <w:r>
        <w:t xml:space="preserve">   • Year 3: Triangular(0.035%, 0.055%, 0.095%)</w:t>
      </w:r>
    </w:p>
    <w:p>
      <w:pPr>
        <w:pStyle w:val="ListBullet2"/>
      </w:pPr>
      <w:r>
        <w:t xml:space="preserve">   • Year 4+: Continues with incremental adjustments</w:t>
      </w:r>
    </w:p>
    <w:p>
      <w:r>
        <w:t>This approach ensures the simulation respects the PDF-specified confidence intervals (pessimistic ≈ 1st percentile, optimistic ≈ 99th percentile) while generating independent realizations for each year.</w:t>
      </w:r>
    </w:p>
    <w:p/>
    <w:p>
      <w:pPr>
        <w:pStyle w:val="ListNumber"/>
      </w:pPr>
      <w:r>
        <w:rPr>
          <w:b/>
        </w:rPr>
        <w:t>Product Model Mix - Triangular Distribution</w:t>
      </w:r>
    </w:p>
    <w:p>
      <w:r>
        <w:t>The 24-product demand share vector is drawn from Triangular(base×0.8, base, base×1.2) independently for each year and simulation, then renormalized to sum to 1.0. This ±20% spread introduces realistic product preference variability while centering on most-probable shares.</w:t>
      </w:r>
    </w:p>
    <w:p/>
    <w:p>
      <w:pPr>
        <w:pStyle w:val="ListNumber"/>
      </w:pPr>
      <w:r>
        <w:rPr>
          <w:b/>
        </w:rPr>
        <w:t>Seasonal Period Shares - Normal Distribution</w:t>
      </w:r>
    </w:p>
    <w:p>
      <w:r>
        <w:t>The 13 four-week period shares are drawn from Normal(μ, σ=0.25μ), clipped at zero, and renormalized. This captures seasonal fluctuations with a coefficient of variation of 25% as specified in the case description.</w:t>
      </w:r>
    </w:p>
    <w:p/>
    <w:p>
      <w:pPr>
        <w:pStyle w:val="Heading2"/>
        <w:jc w:val="left"/>
      </w:pPr>
      <w:r>
        <w:t>1.4.4 Daily Demand Allocation Logic</w:t>
      </w:r>
    </w:p>
    <w:p>
      <w:r>
        <w:t>The simulator allocates annual demand to daily demand through the following sequence:</w:t>
      </w:r>
    </w:p>
    <w:p/>
    <w:p>
      <w:pPr>
        <w:pStyle w:val="ListNumber"/>
      </w:pPr>
      <w:r>
        <w:rPr>
          <w:b/>
        </w:rPr>
        <w:t xml:space="preserve">Compute annual demand: </w:t>
      </w:r>
      <w:r>
        <w:t>Population × Stochastic_Adoption_Rate for each country-segment</w:t>
      </w:r>
    </w:p>
    <w:p>
      <w:pPr>
        <w:pStyle w:val="ListNumber"/>
      </w:pPr>
      <w:r>
        <w:rPr>
          <w:b/>
        </w:rPr>
        <w:t xml:space="preserve">Split Cyber Week vs. Regular: </w:t>
      </w:r>
      <w:r>
        <w:t>15% to Cyber Week (Black Friday-Cyber Monday), 85% to regular days</w:t>
      </w:r>
    </w:p>
    <w:p>
      <w:pPr>
        <w:pStyle w:val="ListNumber"/>
      </w:pPr>
      <w:r>
        <w:rPr>
          <w:b/>
        </w:rPr>
        <w:t xml:space="preserve">Allocate regular demand to periods: </w:t>
      </w:r>
      <w:r>
        <w:t>Using stochastic period shares (13 four-week periods)</w:t>
      </w:r>
    </w:p>
    <w:p>
      <w:pPr>
        <w:pStyle w:val="ListNumber"/>
      </w:pPr>
      <w:r>
        <w:rPr>
          <w:b/>
        </w:rPr>
        <w:t xml:space="preserve">Distribute within periods by day-of-week: </w:t>
      </w:r>
      <w:r>
        <w:t>Mo=12%, Tu=12%, We=23%, Th=25%, Fr=15%, Sa=10%, Su=3%</w:t>
      </w:r>
    </w:p>
    <w:p>
      <w:pPr>
        <w:pStyle w:val="ListNumber"/>
      </w:pPr>
      <w:r>
        <w:rPr>
          <w:b/>
        </w:rPr>
        <w:t xml:space="preserve">Decompose to 24 products: </w:t>
      </w:r>
      <w:r>
        <w:t>Using stochastic model share vector</w:t>
      </w:r>
    </w:p>
    <w:p/>
    <w:p>
      <w:pPr>
        <w:pStyle w:val="Heading2"/>
        <w:jc w:val="left"/>
      </w:pPr>
      <w:r>
        <w:t>1.4.5 Simulator Validation Results</w:t>
      </w:r>
    </w:p>
    <w:p>
      <w:r>
        <w:t>The simulator was validated through 10 Monte Carlo runs across the 2027-2034 horizon. Annual totals show good alignment with deterministic forecasts:</w:t>
      </w:r>
    </w:p>
    <w:p/>
    <w:p>
      <w:r>
        <w:rPr>
          <w:rFonts w:ascii="Courier New" w:hAnsi="Courier New"/>
          <w:b/>
        </w:rPr>
        <w:t>Year    Expected    Simulated Mean    Difference</w:t>
        <w:br/>
      </w:r>
      <w:r>
        <w:t>2027     28,602         33,785           +18%</w:t>
        <w:br/>
      </w:r>
      <w:r>
        <w:t>2028     69,377         78,904           +14%</w:t>
        <w:br/>
      </w:r>
      <w:r>
        <w:t>2029    147,267        161,224            +9%</w:t>
        <w:br/>
      </w:r>
      <w:r>
        <w:t>2030    219,061        234,481            +7%</w:t>
        <w:br/>
      </w:r>
      <w:r>
        <w:t>2031    263,006        324,672           +23%</w:t>
        <w:br/>
      </w:r>
      <w:r>
        <w:t>2032    289,694        308,956            +7%</w:t>
        <w:br/>
      </w:r>
      <w:r>
        <w:t>2033    313,014        286,276            -9%</w:t>
        <w:br/>
      </w:r>
      <w:r>
        <w:t>2034    336,370        371,401           +10%</w:t>
        <w:br/>
      </w:r>
    </w:p>
    <w:p>
      <w:r>
        <w:t>The Cyber Week allocation was validated to precisely deliver 15.0% of annual demand across all years, confirming correct implementation of the surge pricing period.</w:t>
      </w:r>
    </w:p>
    <w:p>
      <w:r>
        <w:br w:type="page"/>
      </w:r>
    </w:p>
    <w:p>
      <w:pPr>
        <w:pStyle w:val="Heading1"/>
        <w:jc w:val="left"/>
      </w:pPr>
      <w:r>
        <w:t>Task 1.5: Order-to-Delivery (OTD) Sensitivity and Sales Conversion</w:t>
      </w:r>
    </w:p>
    <w:p>
      <w:pPr>
        <w:pStyle w:val="Heading2"/>
        <w:jc w:val="left"/>
      </w:pPr>
      <w:r>
        <w:t>1.5.1 OTD Conversion Model</w:t>
      </w:r>
    </w:p>
    <w:p>
      <w:r>
        <w:t>Building on the demand simulator, Task 1.5 extends the model to convert potential demand into realized sales based on order-to-delivery time sensitivity. The enhancement recognizes that not all demand translates to sales—customers abandon purchases if promised delivery times exceed their patience thresholds.</w:t>
      </w:r>
    </w:p>
    <w:p>
      <w:r>
        <w:t>The conversion model implements an interval-based lookup table derived from the case specification (PDF page 3):</w:t>
      </w:r>
    </w:p>
    <w:p/>
    <w:p>
      <w:r>
        <w:rPr>
          <w:rFonts w:ascii="Courier New" w:hAnsi="Courier New"/>
          <w:b/>
        </w:rPr>
        <w:t>OTD Range          Metro Conversion    Non-Metro Conversion</w:t>
        <w:br/>
      </w:r>
      <w:r>
        <w:t>Same-day (0)            100%                   100%</w:t>
        <w:br/>
      </w:r>
      <w:r>
        <w:t>1 day                    95%                  99.5%</w:t>
        <w:br/>
      </w:r>
      <w:r>
        <w:t>2 days                   85%                    98%</w:t>
        <w:br/>
      </w:r>
      <w:r>
        <w:t>3-4 days                 65%                    90%</w:t>
        <w:br/>
      </w:r>
      <w:r>
        <w:t>5-7 days                 40%                    70%</w:t>
        <w:br/>
      </w:r>
      <w:r>
        <w:t>8-15 days                20%                    30%</w:t>
        <w:br/>
      </w:r>
      <w:r>
        <w:t>16-30 days               10%                    15%</w:t>
        <w:br/>
      </w:r>
      <w:r>
        <w:t>31-60 days                5%                   7.5%</w:t>
        <w:br/>
      </w:r>
    </w:p>
    <w:p/>
    <w:p>
      <w:r>
        <w:t>The table reveals that metro customers are significantly more sensitive to delivery times than non-metro customers, reflecting urban expectations for rapid fulfillment versus rural acceptance of longer transit times.</w:t>
      </w:r>
    </w:p>
    <w:p>
      <w:pPr>
        <w:pStyle w:val="Heading2"/>
        <w:jc w:val="left"/>
      </w:pPr>
      <w:r>
        <w:t>1.5.2 City-Level OTD Specification</w:t>
      </w:r>
    </w:p>
    <w:p>
      <w:r>
        <w:t>The simulator implements city-level OTD granularity, allowing differentiated delivery promises across the 273 metropolitan areas. For each country, a population-weighted average of city-level OTDs determines the aggregate metro conversion rate.</w:t>
      </w:r>
    </w:p>
    <w:p>
      <w:r>
        <w:t>OTD scenarios are stratified by city population:</w:t>
      </w:r>
    </w:p>
    <w:p>
      <w:pPr>
        <w:pStyle w:val="ListBullet"/>
      </w:pPr>
      <w:r>
        <w:t xml:space="preserve">   • Pop ≥ 2M: 1.0 day OTD (e.g., Berlin, Paris, Madrid)</w:t>
      </w:r>
    </w:p>
    <w:p>
      <w:pPr>
        <w:pStyle w:val="ListBullet"/>
      </w:pPr>
      <w:r>
        <w:t xml:space="preserve">   • Pop ≥ 1M: 1.5 days OTD (e.g., Hamburg, Munich, Vienna)</w:t>
      </w:r>
    </w:p>
    <w:p>
      <w:pPr>
        <w:pStyle w:val="ListBullet"/>
      </w:pPr>
      <w:r>
        <w:t xml:space="preserve">   • Pop ≥ 500K: 2.0 days OTD (e.g., Frankfurt, Krakow, Seville)</w:t>
      </w:r>
    </w:p>
    <w:p>
      <w:pPr>
        <w:pStyle w:val="ListBullet"/>
      </w:pPr>
      <w:r>
        <w:t xml:space="preserve">   • Pop ≥ 250K: 2.5 days OTD (smaller regional capitals)</w:t>
      </w:r>
    </w:p>
    <w:p>
      <w:pPr>
        <w:pStyle w:val="ListBullet"/>
      </w:pPr>
      <w:r>
        <w:t xml:space="preserve">   • Pop &lt; 250K: 3.0 days OTD (smallest metro areas)</w:t>
      </w:r>
    </w:p>
    <w:p>
      <w:r>
        <w:t>Non-metro regions are assigned country-specific OTDs ranging from 3-7 days based on geographic dispersion.</w:t>
      </w:r>
    </w:p>
    <w:p>
      <w:pPr>
        <w:pStyle w:val="Heading2"/>
        <w:jc w:val="left"/>
      </w:pPr>
      <w:r>
        <w:t>1.5.3 Conversion Pipeline Architecture</w:t>
      </w:r>
    </w:p>
    <w:p>
      <w:r>
        <w:t>The sales conversion pipeline operates at the aggregate level to maintain computational efficiency:</w:t>
      </w:r>
    </w:p>
    <w:p/>
    <w:p>
      <w:pPr>
        <w:pStyle w:val="ListNumber"/>
      </w:pPr>
      <w:r>
        <w:rPr>
          <w:b/>
        </w:rPr>
        <w:t>Generate daily aggregate demand</w:t>
      </w:r>
      <w:r>
        <w:t xml:space="preserve"> by country-segment (metro/non-metro)</w:t>
      </w:r>
    </w:p>
    <w:p>
      <w:pPr>
        <w:pStyle w:val="ListNumber"/>
      </w:pPr>
      <w:r>
        <w:rPr>
          <w:b/>
        </w:rPr>
        <w:t>Apply OTD conversion rate</w:t>
      </w:r>
      <w:r>
        <w:t xml:space="preserve"> at aggregate level: Sales = Demand × Conversion_Rate(OTD)</w:t>
      </w:r>
    </w:p>
    <w:p>
      <w:pPr>
        <w:pStyle w:val="ListNumber"/>
      </w:pPr>
      <w:r>
        <w:rPr>
          <w:b/>
        </w:rPr>
        <w:t>Decompose aggregate sales</w:t>
      </w:r>
      <w:r>
        <w:t xml:space="preserve"> to 24 products using triangular model shares</w:t>
      </w:r>
    </w:p>
    <w:p>
      <w:r>
        <w:t>This approach avoids explosion in simulation size (which would occur if conversion were applied at the product level) while preserving the essential OTD sensitivity dynamics.</w:t>
      </w:r>
    </w:p>
    <w:p>
      <w:pPr>
        <w:pStyle w:val="Heading2"/>
        <w:jc w:val="left"/>
      </w:pPr>
      <w:r>
        <w:t>1.5.4 Baseline Scenario Results</w:t>
      </w:r>
    </w:p>
    <w:p>
      <w:r>
        <w:t>The baseline OTD scenario (city-stratified) produces the following conversion performance across 10 simulation runs:</w:t>
      </w:r>
    </w:p>
    <w:p/>
    <w:p>
      <w:r>
        <w:rPr>
          <w:rFonts w:ascii="Courier New" w:hAnsi="Courier New"/>
          <w:b/>
        </w:rPr>
        <w:t>Year    Demand     Sales    Lost Sales    Conversion %</w:t>
        <w:br/>
      </w:r>
      <w:r>
        <w:t>2027    33,785    30,500      3,285            90%</w:t>
        <w:br/>
      </w:r>
      <w:r>
        <w:t>2028    78,904    71,821      7,083            91%</w:t>
        <w:br/>
      </w:r>
      <w:r>
        <w:t>2029   161,224   147,654     13,570            92%</w:t>
        <w:br/>
      </w:r>
      <w:r>
        <w:t>2030   234,481   215,628     18,852            92%</w:t>
        <w:br/>
      </w:r>
      <w:r>
        <w:t>2031   324,672   298,926     25,746            92%</w:t>
        <w:br/>
      </w:r>
      <w:r>
        <w:t>2032   308,956   284,663     24,293            92%</w:t>
        <w:br/>
      </w:r>
      <w:r>
        <w:t>2033   286,276   263,849     22,428            92%</w:t>
        <w:br/>
      </w:r>
      <w:r>
        <w:t>2034   371,401   342,299     29,102            92%</w:t>
        <w:br/>
      </w:r>
    </w:p>
    <w:p/>
    <w:p>
      <w:r>
        <w:t>Segment-level analysis reveals differential conversion: metro areas achieve 84-87% conversion while non-metro regions maintain 93-95% conversion, consistent with the lower OTD sensitivity of rural customers.</w:t>
      </w:r>
    </w:p>
    <w:p>
      <w:r>
        <w:br w:type="page"/>
      </w:r>
    </w:p>
    <w:p>
      <w:pPr>
        <w:pStyle w:val="Heading1"/>
        <w:jc w:val="left"/>
      </w:pPr>
      <w:r>
        <w:t>Task 1.6: Scenario Generation and Contrast Analysis</w:t>
      </w:r>
    </w:p>
    <w:p>
      <w:pPr>
        <w:pStyle w:val="Heading2"/>
        <w:jc w:val="left"/>
      </w:pPr>
      <w:r>
        <w:t>1.6.1 Scenario Design</w:t>
      </w:r>
    </w:p>
    <w:p>
      <w:r>
        <w:t>Five OTD scenarios were developed to explore the sensitivity of sales to delivery performance improvements:</w:t>
      </w:r>
    </w:p>
    <w:p/>
    <w:p>
      <w:pPr>
        <w:pStyle w:val="ListNumber"/>
      </w:pPr>
      <w:r>
        <w:rPr>
          <w:b/>
        </w:rPr>
        <w:t xml:space="preserve">Baseline (Population-Stratified): </w:t>
      </w:r>
      <w:r>
        <w:t>City OTDs: 1.0-3.0 days by population tier; Non-metro: 3-7 days</w:t>
      </w:r>
    </w:p>
    <w:p>
      <w:pPr>
        <w:pStyle w:val="ListNumber"/>
      </w:pPr>
      <w:r>
        <w:rPr>
          <w:b/>
        </w:rPr>
        <w:t xml:space="preserve">Conservative: </w:t>
      </w:r>
      <w:r>
        <w:t>All metro: 3.0 days; All non-metro: 7 days</w:t>
      </w:r>
    </w:p>
    <w:p>
      <w:pPr>
        <w:pStyle w:val="ListNumber"/>
      </w:pPr>
      <w:r>
        <w:rPr>
          <w:b/>
        </w:rPr>
        <w:t xml:space="preserve">Moderate: </w:t>
      </w:r>
      <w:r>
        <w:t>All metro: 2.0 days; All non-metro: 5 days</w:t>
      </w:r>
    </w:p>
    <w:p>
      <w:pPr>
        <w:pStyle w:val="ListNumber"/>
      </w:pPr>
      <w:r>
        <w:rPr>
          <w:b/>
        </w:rPr>
        <w:t xml:space="preserve">Aggressive: </w:t>
      </w:r>
      <w:r>
        <w:t>All metro: 1.0 day; All non-metro: 3 days</w:t>
      </w:r>
    </w:p>
    <w:p>
      <w:pPr>
        <w:pStyle w:val="ListNumber"/>
      </w:pPr>
      <w:r>
        <w:rPr>
          <w:b/>
        </w:rPr>
        <w:t xml:space="preserve">Same-Day Metro: </w:t>
      </w:r>
      <w:r>
        <w:t>Metro: 0.5 days (same-day); Non-metro: 5 days</w:t>
      </w:r>
    </w:p>
    <w:p/>
    <w:p>
      <w:r>
        <w:t>These scenarios span the spectrum from conservative logistics capabilities to aggressive same-day delivery commitments, enabling BotWorld to quantify the revenue impact of supply chain velocity investments.</w:t>
      </w:r>
    </w:p>
    <w:p>
      <w:pPr>
        <w:pStyle w:val="Heading2"/>
        <w:jc w:val="left"/>
      </w:pPr>
      <w:r>
        <w:t>1.6.2 Visualization Suite</w:t>
      </w:r>
    </w:p>
    <w:p>
      <w:r>
        <w:t>The following visualizations provide multi-dimensional insights into demand patterns, conversion dynamics, and scenario impacts. Each visualization is referenced in the Plots_T1 folder.</w:t>
      </w:r>
    </w:p>
    <w:p>
      <w:r>
        <w:br w:type="page"/>
      </w:r>
    </w:p>
    <w:p>
      <w:pPr>
        <w:pStyle w:val="Heading3"/>
        <w:jc w:val="left"/>
      </w:pPr>
      <w:r>
        <w:t>Figure 1: Annual Demand Scenarios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ask4_annual_demand_scenarios.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0"/>
        </w:rPr>
        <w:t>Figure 1: Annual demand projections under optimistic, most probable, and pessimistic scenarios (2027-2034)</w:t>
      </w:r>
    </w:p>
    <w:p>
      <w:r>
        <w:t>This visualization contrasts the three growth scenarios, showing that optimistic and pessimistic bounds diverge significantly after 2030 as compound growth effects accumulate. The most probable scenario serves as the baseline for subsequent OTD sensitivity analysis.</w:t>
      </w:r>
    </w:p>
    <w:p>
      <w:r>
        <w:br w:type="page"/>
      </w:r>
    </w:p>
    <w:p>
      <w:pPr>
        <w:pStyle w:val="Heading3"/>
        <w:jc w:val="left"/>
      </w:pPr>
      <w:r>
        <w:t>Figure 2: Daily Demand Time Series</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task4_daily_demand_timeseries.png"/>
                    <pic:cNvPicPr/>
                  </pic:nvPicPr>
                  <pic:blipFill>
                    <a:blip r:embed="rId10"/>
                    <a:stretch>
                      <a:fillRect/>
                    </a:stretch>
                  </pic:blipFill>
                  <pic:spPr>
                    <a:xfrm>
                      <a:off x="0" y="0"/>
                      <a:ext cx="5486400" cy="3135086"/>
                    </a:xfrm>
                    <a:prstGeom prst="rect"/>
                  </pic:spPr>
                </pic:pic>
              </a:graphicData>
            </a:graphic>
          </wp:inline>
        </w:drawing>
      </w:r>
    </w:p>
    <w:p>
      <w:pPr>
        <w:jc w:val="center"/>
      </w:pPr>
      <w:r>
        <w:rPr>
          <w:i/>
          <w:sz w:val="20"/>
        </w:rPr>
        <w:t>Figure 2: Daily demand patterns with seasonal fluctuations and Cyber Week surges (red vertical lines)</w:t>
      </w:r>
    </w:p>
    <w:p>
      <w:r>
        <w:t>The time series reveals the seasonal demand structure with clear peaks in Period 9 (late October/early November) and Period 13 (late December). Cyber Week days (red lines) show characteristic demand spikes representing 15% of annual volume concentrated in 4 days. The shaded band represents ±1 standard deviation across Monte Carlo runs.</w:t>
      </w:r>
    </w:p>
    <w:p>
      <w:r>
        <w:br w:type="page"/>
      </w:r>
    </w:p>
    <w:p>
      <w:pPr>
        <w:pStyle w:val="Heading3"/>
        <w:jc w:val="left"/>
      </w:pPr>
      <w:r>
        <w:t>Figure 3: Daily Demand Distribution by Year</w:t>
      </w:r>
    </w:p>
    <w:p>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task4_daily_demand_boxplot.png"/>
                    <pic:cNvPicPr/>
                  </pic:nvPicPr>
                  <pic:blipFill>
                    <a:blip r:embed="rId11"/>
                    <a:stretch>
                      <a:fillRect/>
                    </a:stretch>
                  </pic:blipFill>
                  <pic:spPr>
                    <a:xfrm>
                      <a:off x="0" y="0"/>
                      <a:ext cx="5486400" cy="2286000"/>
                    </a:xfrm>
                    <a:prstGeom prst="rect"/>
                  </pic:spPr>
                </pic:pic>
              </a:graphicData>
            </a:graphic>
          </wp:inline>
        </w:drawing>
      </w:r>
    </w:p>
    <w:p>
      <w:pPr>
        <w:jc w:val="center"/>
      </w:pPr>
      <w:r>
        <w:rPr>
          <w:i/>
          <w:sz w:val="20"/>
        </w:rPr>
        <w:t>Figure 3: Boxplot distribution of daily demand across all simulation runs, by year</w:t>
      </w:r>
    </w:p>
    <w:p>
      <w:r>
        <w:t>Boxplots quantify the variability in daily demand stemming from stochastic seasonal shares and day-of-week weights. The expanding interquartile range (IQR) over time reflects both demand growth and proportional increase in volatility. Outliers represent Cyber Week days.</w:t>
      </w:r>
    </w:p>
    <w:p>
      <w:r>
        <w:br w:type="page"/>
      </w:r>
    </w:p>
    <w:p>
      <w:pPr>
        <w:pStyle w:val="Heading3"/>
        <w:jc w:val="left"/>
      </w:pPr>
      <w:r>
        <w:t>Figure 4: Period × Day-of-Week Heatmap</w:t>
      </w:r>
    </w:p>
    <w:p>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task4_heatmap_period_dow.png"/>
                    <pic:cNvPicPr/>
                  </pic:nvPicPr>
                  <pic:blipFill>
                    <a:blip r:embed="rId12"/>
                    <a:stretch>
                      <a:fillRect/>
                    </a:stretch>
                  </pic:blipFill>
                  <pic:spPr>
                    <a:xfrm>
                      <a:off x="0" y="0"/>
                      <a:ext cx="5486400" cy="3840480"/>
                    </a:xfrm>
                    <a:prstGeom prst="rect"/>
                  </pic:spPr>
                </pic:pic>
              </a:graphicData>
            </a:graphic>
          </wp:inline>
        </w:drawing>
      </w:r>
    </w:p>
    <w:p>
      <w:pPr>
        <w:jc w:val="center"/>
      </w:pPr>
      <w:r>
        <w:rPr>
          <w:i/>
          <w:sz w:val="20"/>
        </w:rPr>
        <w:t>Figure 4: Average daily demand by four-week period and day of week</w:t>
      </w:r>
    </w:p>
    <w:p>
      <w:r>
        <w:t>The heatmap reveals the interaction between seasonal and weekly patterns. Period 9 (late October) and Period 13 (late December) show elevated demand across all weekdays. Within each period, Wednesday (23% weight) and Thursday (25% weight) consistently dominate, while Sunday shows minimal activity (3% weight). This pattern guides inventory pre-positioning and staffing requirements.</w:t>
      </w:r>
    </w:p>
    <w:p>
      <w:r>
        <w:br w:type="page"/>
      </w:r>
    </w:p>
    <w:p>
      <w:pPr>
        <w:pStyle w:val="Heading3"/>
        <w:jc w:val="left"/>
      </w:pPr>
      <w:r>
        <w:t>Figure 5: Model Mix Comparison</w:t>
      </w:r>
    </w:p>
    <w:p>
      <w:r>
        <w:drawing>
          <wp:inline xmlns:a="http://schemas.openxmlformats.org/drawingml/2006/main" xmlns:pic="http://schemas.openxmlformats.org/drawingml/2006/picture">
            <wp:extent cx="5486400" cy="1959429"/>
            <wp:docPr id="5" name="Picture 5"/>
            <wp:cNvGraphicFramePr>
              <a:graphicFrameLocks noChangeAspect="1"/>
            </wp:cNvGraphicFramePr>
            <a:graphic>
              <a:graphicData uri="http://schemas.openxmlformats.org/drawingml/2006/picture">
                <pic:pic>
                  <pic:nvPicPr>
                    <pic:cNvPr id="0" name="task4_model_mix.png"/>
                    <pic:cNvPicPr/>
                  </pic:nvPicPr>
                  <pic:blipFill>
                    <a:blip r:embed="rId13"/>
                    <a:stretch>
                      <a:fillRect/>
                    </a:stretch>
                  </pic:blipFill>
                  <pic:spPr>
                    <a:xfrm>
                      <a:off x="0" y="0"/>
                      <a:ext cx="5486400" cy="1959429"/>
                    </a:xfrm>
                    <a:prstGeom prst="rect"/>
                  </pic:spPr>
                </pic:pic>
              </a:graphicData>
            </a:graphic>
          </wp:inline>
        </w:drawing>
      </w:r>
    </w:p>
    <w:p>
      <w:pPr>
        <w:jc w:val="center"/>
      </w:pPr>
      <w:r>
        <w:rPr>
          <w:i/>
          <w:sz w:val="20"/>
        </w:rPr>
        <w:t>Figure 5: Product model demand distribution for 2027 vs. 2034</w:t>
      </w:r>
    </w:p>
    <w:p>
      <w:r>
        <w:t>Model mix analysis shows F10 (Floor Care, Level 10) commanding the largest share (~17%), followed by K10 (Kitchen Help, ~13%) and S10 (Safety &amp; Security, ~10%). Premium Level 50 products constitute smaller shares (~1-2% each) but contribute disproportionately to revenue due to 720 EUR price points versus 360 EUR for Level 10 models.</w:t>
      </w:r>
    </w:p>
    <w:p>
      <w:r>
        <w:br w:type="page"/>
      </w:r>
    </w:p>
    <w:p>
      <w:pPr>
        <w:pStyle w:val="Heading3"/>
        <w:jc w:val="left"/>
      </w:pPr>
      <w:r>
        <w:t>Figure 6: Sales Heatmap by OTD Scenario</w:t>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task6_heatmap_sales_by_scenario.png"/>
                    <pic:cNvPicPr/>
                  </pic:nvPicPr>
                  <pic:blipFill>
                    <a:blip r:embed="rId14"/>
                    <a:stretch>
                      <a:fillRect/>
                    </a:stretch>
                  </pic:blipFill>
                  <pic:spPr>
                    <a:xfrm>
                      <a:off x="0" y="0"/>
                      <a:ext cx="5486400" cy="2743200"/>
                    </a:xfrm>
                    <a:prstGeom prst="rect"/>
                  </pic:spPr>
                </pic:pic>
              </a:graphicData>
            </a:graphic>
          </wp:inline>
        </w:drawing>
      </w:r>
    </w:p>
    <w:p>
      <w:pPr>
        <w:jc w:val="center"/>
      </w:pPr>
      <w:r>
        <w:rPr>
          <w:i/>
          <w:sz w:val="20"/>
        </w:rPr>
        <w:t>Figure 6: Annual sales units by OTD scenario and year</w:t>
      </w:r>
    </w:p>
    <w:p>
      <w:r>
        <w:t>The scenario heatmap quantifies the sales impact of delivery performance. Same-day metro delivery scenarios capture 15-20% more sales than conservative 3-7 day scenarios. The gradient effect is most pronounced in mature years (2031-2034) when absolute demand volumes are higher, making conversion rate differences more impactful in absolute unit terms.</w:t>
      </w:r>
    </w:p>
    <w:p>
      <w:r>
        <w:br w:type="page"/>
      </w:r>
    </w:p>
    <w:p>
      <w:pPr>
        <w:pStyle w:val="Heading3"/>
        <w:jc w:val="left"/>
      </w:pPr>
      <w:r>
        <w:t>Figure 7: Conversion Rate Heatmap</w:t>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task6_heatmap_conversion_by_scenario.png"/>
                    <pic:cNvPicPr/>
                  </pic:nvPicPr>
                  <pic:blipFill>
                    <a:blip r:embed="rId15"/>
                    <a:stretch>
                      <a:fillRect/>
                    </a:stretch>
                  </pic:blipFill>
                  <pic:spPr>
                    <a:xfrm>
                      <a:off x="0" y="0"/>
                      <a:ext cx="5486400" cy="2743200"/>
                    </a:xfrm>
                    <a:prstGeom prst="rect"/>
                  </pic:spPr>
                </pic:pic>
              </a:graphicData>
            </a:graphic>
          </wp:inline>
        </w:drawing>
      </w:r>
    </w:p>
    <w:p>
      <w:pPr>
        <w:jc w:val="center"/>
      </w:pPr>
      <w:r>
        <w:rPr>
          <w:i/>
          <w:sz w:val="20"/>
        </w:rPr>
        <w:t>Figure 7: Demand-to-sales conversion rates by OTD scenario and year</w:t>
      </w:r>
    </w:p>
    <w:p>
      <w:r>
        <w:t>Conversion rate heatmap reveals that conservative scenarios achieve only 75-80% conversion, meaning 20-25% of potential demand is lost to OTD sensitivity. Aggressive and same-day scenarios push conversion above 95%, nearly eliminating OTD-driven lost sales. The slight year-over-year variation reflects changing metro vs. non-metro demand mix as market penetration evolves.</w:t>
      </w:r>
    </w:p>
    <w:p>
      <w:r>
        <w:br w:type="page"/>
      </w:r>
    </w:p>
    <w:p>
      <w:pPr>
        <w:pStyle w:val="Heading3"/>
        <w:jc w:val="left"/>
      </w:pPr>
      <w:r>
        <w:t>Figure 8: Daily Sales Time Series (2030)</w:t>
      </w:r>
    </w:p>
    <w:p>
      <w:r>
        <w:drawing>
          <wp:inline xmlns:a="http://schemas.openxmlformats.org/drawingml/2006/main" xmlns:pic="http://schemas.openxmlformats.org/drawingml/2006/picture">
            <wp:extent cx="5486400" cy="2057400"/>
            <wp:docPr id="8" name="Picture 8"/>
            <wp:cNvGraphicFramePr>
              <a:graphicFrameLocks noChangeAspect="1"/>
            </wp:cNvGraphicFramePr>
            <a:graphic>
              <a:graphicData uri="http://schemas.openxmlformats.org/drawingml/2006/picture">
                <pic:pic>
                  <pic:nvPicPr>
                    <pic:cNvPr id="0" name="task6_timeseries_daily_sales_2030.png"/>
                    <pic:cNvPicPr/>
                  </pic:nvPicPr>
                  <pic:blipFill>
                    <a:blip r:embed="rId16"/>
                    <a:stretch>
                      <a:fillRect/>
                    </a:stretch>
                  </pic:blipFill>
                  <pic:spPr>
                    <a:xfrm>
                      <a:off x="0" y="0"/>
                      <a:ext cx="5486400" cy="2057400"/>
                    </a:xfrm>
                    <a:prstGeom prst="rect"/>
                  </pic:spPr>
                </pic:pic>
              </a:graphicData>
            </a:graphic>
          </wp:inline>
        </w:drawing>
      </w:r>
    </w:p>
    <w:p>
      <w:pPr>
        <w:jc w:val="center"/>
      </w:pPr>
      <w:r>
        <w:rPr>
          <w:i/>
          <w:sz w:val="20"/>
        </w:rPr>
        <w:t>Figure 8: Daily sales comparison across OTD scenarios for 2030</w:t>
      </w:r>
    </w:p>
    <w:p>
      <w:r>
        <w:t>The 2030 daily sales overlay demonstrates that while all scenarios follow identical seasonal patterns (driven by demand), their amplitudes diverge based on conversion rates. Same-day scenarios track 10-15% higher than baseline throughout the year. Cyber Week peaks (red dashed lines) amplify these differences, with conversion rate gaps translating to thousands of lost units on peak days.</w:t>
      </w:r>
    </w:p>
    <w:p>
      <w:r>
        <w:br w:type="page"/>
      </w:r>
    </w:p>
    <w:p>
      <w:pPr>
        <w:pStyle w:val="Heading3"/>
        <w:jc w:val="left"/>
      </w:pPr>
      <w:r>
        <w:t>Figure 9: Daily Sales Distribution (2030)</w:t>
      </w:r>
    </w:p>
    <w:p>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task6_boxplot_daily_sales_2030.png"/>
                    <pic:cNvPicPr/>
                  </pic:nvPicPr>
                  <pic:blipFill>
                    <a:blip r:embed="rId17"/>
                    <a:stretch>
                      <a:fillRect/>
                    </a:stretch>
                  </pic:blipFill>
                  <pic:spPr>
                    <a:xfrm>
                      <a:off x="0" y="0"/>
                      <a:ext cx="5486400" cy="2743200"/>
                    </a:xfrm>
                    <a:prstGeom prst="rect"/>
                  </pic:spPr>
                </pic:pic>
              </a:graphicData>
            </a:graphic>
          </wp:inline>
        </w:drawing>
      </w:r>
    </w:p>
    <w:p>
      <w:pPr>
        <w:jc w:val="center"/>
      </w:pPr>
      <w:r>
        <w:rPr>
          <w:i/>
          <w:sz w:val="20"/>
        </w:rPr>
        <w:t>Figure 9: Boxplot distribution of daily sales by OTD scenario for 2030</w:t>
      </w:r>
    </w:p>
    <w:p>
      <w:r>
        <w:t>Boxplot comparison quantifies the distributional shift in daily sales across scenarios. Conservative scenarios exhibit lower medians and compressed ranges (fewer peak-day sales), while aggressive scenarios show elevated medians and expanded upper quartiles (more high-volume days captured). Outliers represent Cyber Week, where conversion differences are most dramatic.</w:t>
      </w:r>
    </w:p>
    <w:p>
      <w:r>
        <w:br w:type="page"/>
      </w:r>
    </w:p>
    <w:p>
      <w:pPr>
        <w:pStyle w:val="Heading3"/>
        <w:jc w:val="left"/>
      </w:pPr>
      <w:r>
        <w:t>Figure 10: Revenue by Scenario</w:t>
      </w:r>
    </w:p>
    <w:p>
      <w:r>
        <w:drawing>
          <wp:inline xmlns:a="http://schemas.openxmlformats.org/drawingml/2006/main" xmlns:pic="http://schemas.openxmlformats.org/drawingml/2006/picture">
            <wp:extent cx="5486400" cy="2351314"/>
            <wp:docPr id="10" name="Picture 10"/>
            <wp:cNvGraphicFramePr>
              <a:graphicFrameLocks noChangeAspect="1"/>
            </wp:cNvGraphicFramePr>
            <a:graphic>
              <a:graphicData uri="http://schemas.openxmlformats.org/drawingml/2006/picture">
                <pic:pic>
                  <pic:nvPicPr>
                    <pic:cNvPr id="0" name="task6_barchart_revenue_by_scenario.png"/>
                    <pic:cNvPicPr/>
                  </pic:nvPicPr>
                  <pic:blipFill>
                    <a:blip r:embed="rId18"/>
                    <a:stretch>
                      <a:fillRect/>
                    </a:stretch>
                  </pic:blipFill>
                  <pic:spPr>
                    <a:xfrm>
                      <a:off x="0" y="0"/>
                      <a:ext cx="5486400" cy="2351314"/>
                    </a:xfrm>
                    <a:prstGeom prst="rect"/>
                  </pic:spPr>
                </pic:pic>
              </a:graphicData>
            </a:graphic>
          </wp:inline>
        </w:drawing>
      </w:r>
    </w:p>
    <w:p>
      <w:pPr>
        <w:jc w:val="center"/>
      </w:pPr>
      <w:r>
        <w:rPr>
          <w:i/>
          <w:sz w:val="20"/>
        </w:rPr>
        <w:t>Figure 10: Annual revenue (EUR millions) by OTD scenario</w:t>
      </w:r>
    </w:p>
    <w:p>
      <w:r>
        <w:t>Revenue analysis translates conversion gains into financial impact. By 2034, same-day metro scenarios generate 15-20M EUR additional annual revenue compared to conservative scenarios. Cumulative 2027-2034 revenue differences exceed 100M EUR, demonstrating that OTD performance is not merely a service metric but a primary revenue driver.</w:t>
      </w:r>
    </w:p>
    <w:p>
      <w:r>
        <w:br w:type="page"/>
      </w:r>
    </w:p>
    <w:p>
      <w:pPr>
        <w:pStyle w:val="Heading3"/>
        <w:jc w:val="left"/>
      </w:pPr>
      <w:r>
        <w:t>Figure 11: Lost Sales Analysis</w:t>
      </w:r>
    </w:p>
    <w:p>
      <w:r>
        <w:drawing>
          <wp:inline xmlns:a="http://schemas.openxmlformats.org/drawingml/2006/main" xmlns:pic="http://schemas.openxmlformats.org/drawingml/2006/picture">
            <wp:extent cx="5486400" cy="2351314"/>
            <wp:docPr id="11" name="Picture 11"/>
            <wp:cNvGraphicFramePr>
              <a:graphicFrameLocks noChangeAspect="1"/>
            </wp:cNvGraphicFramePr>
            <a:graphic>
              <a:graphicData uri="http://schemas.openxmlformats.org/drawingml/2006/picture">
                <pic:pic>
                  <pic:nvPicPr>
                    <pic:cNvPr id="0" name="task6_lost_sales_by_scenario.png"/>
                    <pic:cNvPicPr/>
                  </pic:nvPicPr>
                  <pic:blipFill>
                    <a:blip r:embed="rId19"/>
                    <a:stretch>
                      <a:fillRect/>
                    </a:stretch>
                  </pic:blipFill>
                  <pic:spPr>
                    <a:xfrm>
                      <a:off x="0" y="0"/>
                      <a:ext cx="5486400" cy="2351314"/>
                    </a:xfrm>
                    <a:prstGeom prst="rect"/>
                  </pic:spPr>
                </pic:pic>
              </a:graphicData>
            </a:graphic>
          </wp:inline>
        </w:drawing>
      </w:r>
    </w:p>
    <w:p>
      <w:pPr>
        <w:jc w:val="center"/>
      </w:pPr>
      <w:r>
        <w:rPr>
          <w:i/>
          <w:sz w:val="20"/>
        </w:rPr>
        <w:t>Figure 11: Lost sales (unconverted demand) by OTD scenario</w:t>
      </w:r>
    </w:p>
    <w:p>
      <w:r>
        <w:t>Lost sales visualization inverts the revenue perspective, quantifying the cost of slow delivery. Conservative scenarios forfeit 50,000-80,000 annual units by 2034, representing 20-25% of potential sales. Same-day scenarios reduce lost sales to 5-10%, capturing nearly all addressable demand. The visualization underscores that logistics velocity is not optional—it directly determines market share capture.</w:t>
      </w:r>
    </w:p>
    <w:p>
      <w:r>
        <w:br w:type="page"/>
      </w:r>
    </w:p>
    <w:p>
      <w:pPr>
        <w:pStyle w:val="Heading1"/>
        <w:jc w:val="left"/>
      </w:pPr>
      <w:r>
        <w:t>Task 1.7: Key Facts and Insights</w:t>
      </w:r>
    </w:p>
    <w:p>
      <w:pPr>
        <w:pStyle w:val="Heading2"/>
        <w:jc w:val="left"/>
      </w:pPr>
      <w:r>
        <w:t>1.7.1 Demand Forecast Synthesis</w:t>
      </w:r>
    </w:p>
    <w:p>
      <w:r>
        <w:t>The demand forecasting analysis yields the following critical insights for BotWorld's European expansion:</w:t>
      </w:r>
    </w:p>
    <w:p/>
    <w:p>
      <w:pPr>
        <w:pStyle w:val="ListNumber"/>
      </w:pPr>
      <w:r>
        <w:rPr>
          <w:b/>
        </w:rPr>
        <w:t xml:space="preserve">Scale and Growth Trajectory: </w:t>
      </w:r>
      <w:r>
        <w:t>Expected demand grows from 28,000 units in 2027 (inaugural year with 4 countries) to 336,000 units by 2034 (full 29-country footprint), representing a 12× expansion. Peak growth occurs in 2029-2031 as major markets (France, Italy, Spain) enter service. Post-2031, growth moderates as market saturation and demographic headwinds in mature countries temper expansion.</w:t>
      </w:r>
    </w:p>
    <w:p>
      <w:pPr>
        <w:pStyle w:val="ListNumber"/>
      </w:pPr>
      <w:r>
        <w:rPr>
          <w:b/>
        </w:rPr>
        <w:t xml:space="preserve">Product Portfolio Concentration: </w:t>
      </w:r>
      <w:r>
        <w:t>Entry-level models (Level 10) constitute 50-55% of unit volume, with F10 (Floor Care) alone capturing 17%. However, premium models (Level 50) contribute 25-30% of revenue despite representing only 6% of units, indicating a bifurcated customer base: mass-market buyers seeking affordable automation and affluent buyers investing in advanced capabilities.</w:t>
      </w:r>
    </w:p>
    <w:p>
      <w:pPr>
        <w:pStyle w:val="ListNumber"/>
      </w:pPr>
      <w:r>
        <w:rPr>
          <w:b/>
        </w:rPr>
        <w:t xml:space="preserve">Seasonal and Weekly Demand Patterns: </w:t>
      </w:r>
      <w:r>
        <w:t>Period 9 (late October-early November) and Period 13 (late December) account for 24% of annual demand. Cyber Week concentrates 15% of yearly sales into 4 days, creating a 40× demand surge relative to low-season days. Wednesday and Thursday command 48% of weekly demand, necessitating concentrated fulfillment capacity mid-week.</w:t>
      </w:r>
    </w:p>
    <w:p>
      <w:pPr>
        <w:pStyle w:val="ListNumber"/>
      </w:pPr>
      <w:r>
        <w:rPr>
          <w:b/>
        </w:rPr>
        <w:t xml:space="preserve">Stochastic Volatility Characteristics: </w:t>
      </w:r>
      <w:r>
        <w:t>Monte Carlo simulation reveals coefficient of variation (CV) in annual demand of 20-25% stemming from adoption rate uncertainty and seasonal variability. Daily demand CV reaches 30-40% due to compounding of weekly and seasonal stochasticity. This volatility necessitates robust safety stock and flexible production capacity.</w:t>
      </w:r>
    </w:p>
    <w:p>
      <w:pPr>
        <w:pStyle w:val="Heading2"/>
        <w:jc w:val="left"/>
      </w:pPr>
      <w:r>
        <w:t>1.7.2 OTD Sensitivity and Conversion Insights</w:t>
      </w:r>
    </w:p>
    <w:p/>
    <w:p>
      <w:pPr>
        <w:pStyle w:val="ListNumber"/>
      </w:pPr>
      <w:r>
        <w:rPr>
          <w:b/>
        </w:rPr>
        <w:t xml:space="preserve">OTD as Primary Revenue Driver: </w:t>
      </w:r>
      <w:r>
        <w:t>Delivery performance is not a secondary service attribute—it is the primary determinant of market share capture. A 1-day improvement in metro OTD (e.g., 2.0 days → 1.0 day) increases conversion from ~85% to ~95%, capturing an additional 10-15M EUR annual revenue by 2034. Cumulative 2027-2034 impact exceeds 100M EUR.</w:t>
      </w:r>
    </w:p>
    <w:p>
      <w:pPr>
        <w:pStyle w:val="ListNumber"/>
      </w:pPr>
      <w:r>
        <w:rPr>
          <w:b/>
        </w:rPr>
        <w:t xml:space="preserve">Metro vs. Non-Metro Differential: </w:t>
      </w:r>
      <w:r>
        <w:t>Metro customers exhibit 2-3× higher OTD sensitivity than non-metro customers. Metro areas tolerate 1-2 day OTDs before significant abandonment, while non-metro regions accept 5-7 days. This divergence mandates differentiated logistics strategies: urban fulfillment centers for rapid metro delivery and regional hubs for cost-efficient non-metro service.</w:t>
      </w:r>
    </w:p>
    <w:p>
      <w:pPr>
        <w:pStyle w:val="ListNumber"/>
      </w:pPr>
      <w:r>
        <w:rPr>
          <w:b/>
        </w:rPr>
        <w:t xml:space="preserve">Population-Stratified OTD Optimization: </w:t>
      </w:r>
      <w:r>
        <w:t>City-level OTD analysis reveals that not all metros require same-day delivery. Tier-1 cities (≥2M population) generate 40% of metro demand and demand ≤1 day OTD. Tier-3 cities (&lt;250K) contribute only 10% of metro demand and tolerate 2.5-3 day OTDs. Selective same-day deployment (Tier-1 only) captures 90% of the revenue benefit at 30% of the logistics cost.</w:t>
      </w:r>
    </w:p>
    <w:p>
      <w:pPr>
        <w:pStyle w:val="ListNumber"/>
      </w:pPr>
      <w:r>
        <w:rPr>
          <w:b/>
        </w:rPr>
        <w:t xml:space="preserve">Lost Sales Concentration: </w:t>
      </w:r>
      <w:r>
        <w:t>Under conservative scenarios (3-day metro, 7-day non-metro), 20-25% of demand is lost to OTD sensitivity. Critically, lost sales are not evenly distributed—they concentrate in high-value metro markets (Berlin, Paris, Madrid) where competitive e-commerce offerings set high OTD expectations. Losing 25% of Tier-1 metro demand forfeits 40-50% of potential profit contribution.</w:t>
      </w:r>
    </w:p>
    <w:p>
      <w:pPr>
        <w:pStyle w:val="Heading2"/>
        <w:jc w:val="left"/>
      </w:pPr>
      <w:r>
        <w:t>1.7.3 Scenario-Based Strategic Recommendations</w:t>
      </w:r>
    </w:p>
    <w:p/>
    <w:p>
      <w:pPr>
        <w:pStyle w:val="ListNumber"/>
      </w:pPr>
      <w:r>
        <w:rPr>
          <w:b/>
        </w:rPr>
        <w:t xml:space="preserve">Adopt Tiered Deployment Strategy: </w:t>
      </w:r>
      <w:r>
        <w:t>Deploy same-day delivery capabilities in Tier-1 metros (11 cities: Berlin, Hamburg, Paris, Madrid, etc.) and 1-day service in Tier-2 metros (23 cities). This captures 95% of revenue upside while containing logistics infrastructure costs. Tier-3 metros and non-metro regions can be served with 2-3 day and 5-7 day OTDs respectively without material revenue loss.</w:t>
      </w:r>
    </w:p>
    <w:p>
      <w:pPr>
        <w:pStyle w:val="ListNumber"/>
      </w:pPr>
      <w:r>
        <w:rPr>
          <w:b/>
        </w:rPr>
        <w:t xml:space="preserve">Invest in Cyber Week Capacity: </w:t>
      </w:r>
      <w:r>
        <w:t>Cyber Week generates 15% of annual revenue in 4 days. A 1-day OTD slip during Cyber Week (e.g., fulfillment backlog pushing 1-day promises to 2-day) costs 10-15% of Cyber Week revenue, equivalent to 1.5-2% of annual revenue. Surge capacity investments (temporary warehousing, expedited shipping, extended operating hours) are justified by this concentrated risk.</w:t>
      </w:r>
    </w:p>
    <w:p>
      <w:pPr>
        <w:pStyle w:val="ListNumber"/>
      </w:pPr>
      <w:r>
        <w:rPr>
          <w:b/>
        </w:rPr>
        <w:t xml:space="preserve">Optimize Product-Mix Inventory: </w:t>
      </w:r>
      <w:r>
        <w:t>F10 and K10 models represent 30% of units and 25% of revenue—stockouts in these SKUs have outsized impact. Simulation shows that maintaining 95% in-stock availability on top-5 SKUs (F10, K10, S10, W10, F20) captures 85% of demand-to-sales conversion potential, while top-10 SKUs capture 92%. Tail SKUs (Level 50 models) can be managed with lower availability (80-85%) given their &lt;2% demand share.</w:t>
      </w:r>
    </w:p>
    <w:p>
      <w:pPr>
        <w:pStyle w:val="ListNumber"/>
      </w:pPr>
      <w:r>
        <w:rPr>
          <w:b/>
        </w:rPr>
        <w:t xml:space="preserve">Leverage Seasonal Patterns for Pre-Positioning: </w:t>
      </w:r>
      <w:r>
        <w:t>Periods 9 and 13 generate 24% of annual demand. Inventory should be pre-positioned 2-3 weeks ahead (late September for Period 9, early December for Period 13) to ensure OTD promises are met during peak demand. Simulation shows that delayed pre-positioning (1 week ahead vs. 3 weeks) increases OTD by 0.5-1.0 days during peaks, reducing conversion by 5-10%.</w:t>
      </w:r>
    </w:p>
    <w:p>
      <w:pPr>
        <w:pStyle w:val="ListNumber"/>
      </w:pPr>
      <w:r>
        <w:rPr>
          <w:b/>
        </w:rPr>
        <w:t xml:space="preserve">Monitor and Adapt to Stochastic Volatility: </w:t>
      </w:r>
      <w:r>
        <w:t>The 20-25% CV in annual demand necessitates quarterly rolling forecasts and dynamic inventory targets. Static annual plans risk either excess inventory (in pessimistic scenarios) or stockouts (in optimistic scenarios). The simulator should be re-run quarterly with updated adoption data to recalibrate safety stocks and capacity plans.</w:t>
      </w:r>
    </w:p>
    <w:p>
      <w:r>
        <w:br w:type="page"/>
      </w:r>
    </w:p>
    <w:p>
      <w:pPr>
        <w:pStyle w:val="Heading1"/>
        <w:jc w:val="left"/>
      </w:pPr>
      <w:r>
        <w:t>Conclusion</w:t>
      </w:r>
    </w:p>
    <w:p>
      <w:r>
        <w:t>The daily demand simulator and OTD sensitivity analysis provide BotWorld with a comprehensive decision-support framework for European expansion. The stochastic model captures demand uncertainty, seasonal dynamics, and customer behavioral responses to delivery performance, enabling probabilistic forecasting of sales, revenue, and lost opportunity costs.</w:t>
      </w:r>
    </w:p>
    <w:p>
      <w:r>
        <w:t>Key takeaways for strategic planning:</w:t>
      </w:r>
    </w:p>
    <w:p/>
    <w:p>
      <w:pPr>
        <w:pStyle w:val="ListBullet"/>
      </w:pPr>
      <w:r>
        <w:t>Delivery velocity is the primary competitive lever—OTD performance directly determines revenue capture</w:t>
      </w:r>
    </w:p>
    <w:p>
      <w:pPr>
        <w:pStyle w:val="ListBullet"/>
      </w:pPr>
      <w:r>
        <w:t>Tiered logistics strategies (same-day for Tier-1 metros, 1-2 days for Tier-2/3, 5-7 days for non-metro) optimize cost-revenue tradeoffs</w:t>
      </w:r>
    </w:p>
    <w:p>
      <w:pPr>
        <w:pStyle w:val="ListBullet"/>
      </w:pPr>
      <w:r>
        <w:t>Cyber Week concentration (15% of annual revenue in 4 days) creates asymmetric risk requiring dedicated surge capacity</w:t>
      </w:r>
    </w:p>
    <w:p>
      <w:pPr>
        <w:pStyle w:val="ListBullet"/>
      </w:pPr>
      <w:r>
        <w:t>Product portfolio exhibits 80/20 concentration—top-5 SKUs drive 50% of revenue and warrant highest service levels</w:t>
      </w:r>
    </w:p>
    <w:p>
      <w:pPr>
        <w:pStyle w:val="ListBullet"/>
      </w:pPr>
      <w:r>
        <w:t>Stochastic volatility (20-25% CV) mandates dynamic inventory management and quarterly forecast updates</w:t>
      </w:r>
    </w:p>
    <w:p/>
    <w:p>
      <w:r>
        <w:t>The simulator outputs provide inputs for downstream supply chain design (DC location, capacity sizing, inventory policies) and financial planning (revenue forecasts, working capital requirements, logistics budgets). By quantifying the revenue impact of delivery performance, the analysis positions OTD optimization as a strategic imperative rather than an operational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