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pStyle w:val="Title"/>
      </w:pPr>
      <w:r>
        <w:t xml:space="preserve">Task 5 Subreport: PI Hyperconnected Transportation</w:t>
      </w:r>
    </w:p>
    <w:p>
      <w:pPr>
        <w:pStyle w:val="Normal"/>
      </w:pPr>
      <w:r>
        <w:t xml:space="preserve">This report is structured directly around the Task 5 PDF prompts. Each section below corresponds to one of the 15 Task 5 subtasks and uses the current repo's Task5 pipeline, output tables, and comparison artifacts as the evidence base.</w:t>
      </w:r>
    </w:p>
    <w:p>
      <w:pPr>
        <w:pStyle w:val="Heading1"/>
      </w:pPr>
      <w:r>
        <w:t xml:space="preserve">Task 5.1: Network Design and Roadmap</w:t>
      </w:r>
    </w:p>
    <w:p>
      <w:pPr>
        <w:pStyle w:val="Normal"/>
      </w:pPr>
      <w:r>
        <w:t xml:space="preserve">The implemented PI design is a phased multi-tier network rather than a fully enumerated pan-European mesh. Rotterdam is the fixed port entry, Euro DCs open progressively from 2027 to 2030, peri-urban hubs are created from the metro-city layer, and non-metro demand centroids are retained as service sinks. Relay hubs are generated algorithmically whenever a DC-to-market movement breaches the 11-hour single-driver threshold. Candidate relays are placed at the mid-journey point, clustered within 80 km, and merged with nearby peri-urban hubs when possible so the network reuses open infrastructure instead of inventing a dense new bespoke hub system.</w:t>
      </w:r>
    </w:p>
    <w:p>
      <w:pPr>
        <w:pStyle w:val="Normal"/>
      </w:pPr>
      <w:r>
        <w:t xml:space="preserve">The lane design mirrors the PDF requirements: port-to-DC trunk links, DC-to-DC transfer links, direct DC-to-hub lanes when a market is within four driving hours, DC-to-relay legs for long-haul support, relay-to-hub feeders, and short hub corridors. Routes are selected by shortest elapsed time, not raw distance, using one hour of dwell at relay-only hubs and two hours at consolidation-capable hubs. That gives a network focused on daily departures, relay continuity, and low detour. The rollout grows from 71 peri-urban hubs and 2,622 lanes in 2027 to 269 peri-urban hubs, 167 relay hubs, and 8,151 lanes by 2030. Coverage reaches 97.40% with mean detour 1.021.</w:t>
      </w:r>
    </w:p>
    <w:p>
      <w:pPr>
        <w:pStyle w:val="Normal"/>
      </w:pPr>
      <w:r>
        <w:t xml:space="preserve">The yearly roadmap is also clear. 2027 is a northwestern core with 1 DC and no relay hubs. 2028 adds the second DC and about 23 relay hubs. 2029 expands the footprint to 3 DCs, 232 peri-urban hubs, and 103 relay hubs. By 2030 the full network is in place and remains topologically stable through 2034, which makes the later changes mostly volume-driven rather than topology-driven.</w:t>
      </w:r>
    </w:p>
    <w:p>
      <w:pPr>
        <w:pStyle w:val="Caption"/>
      </w:pPr>
      <w:r>
        <w:t xml:space="preserve">Figure 1. Task 5 topology KPIs by year.</w:t>
      </w:r>
    </w:p>
    <w:p>
      <w:pPr>
        <w:pStyle w:val="ImageBlock"/>
      </w:pPr>
      <w:r>
        <w:drawing>
          <wp:inline distT="0" distB="0" distL="0" distR="0">
            <wp:extent cx="5760720" cy="1999979"/>
            <wp:docPr id="1" name="fig_5_1_topology_kpis.png"/>
            <wp:cNvGraphicFramePr>
              <a:graphicFrameLocks noChangeAspect="1"/>
            </wp:cNvGraphicFramePr>
            <a:graphic>
              <a:graphicData uri="http://schemas.openxmlformats.org/drawingml/2006/picture">
                <pic:pic>
                  <pic:nvPicPr>
                    <pic:cNvPr id="0" name="fig_5_1_topology_kpis.png"/>
                    <pic:cNvPicPr/>
                  </pic:nvPicPr>
                  <pic:blipFill>
                    <a:blip r:embed="rId2"/>
                    <a:stretch>
                      <a:fillRect/>
                    </a:stretch>
                  </pic:blipFill>
                  <pic:spPr>
                    <a:xfrm>
                      <a:off x="0" y="0"/>
                      <a:ext cx="5760720" cy="1999979"/>
                    </a:xfrm>
                    <a:prstGeom prst="rect">
                      <a:avLst/>
                    </a:prstGeom>
                  </pic:spPr>
                </pic:pic>
              </a:graphicData>
            </a:graphic>
          </wp:inline>
        </w:drawing>
      </w:r>
    </w:p>
    <w:p>
      <w:pPr>
        <w:pStyle w:val="Caption"/>
      </w:pPr>
      <w:r>
        <w:t xml:space="preserve">Figure 2. 2030 PI network map and node layout.</w:t>
      </w:r>
    </w:p>
    <w:p>
      <w:pPr>
        <w:pStyle w:val="ImageBlock"/>
      </w:pPr>
      <w:r>
        <w:drawing>
          <wp:inline distT="0" distB="0" distL="0" distR="0">
            <wp:extent cx="5760720" cy="4083407"/>
            <wp:docPr id="2" name="fig_5_1_network_map_2030.png"/>
            <wp:cNvGraphicFramePr>
              <a:graphicFrameLocks noChangeAspect="1"/>
            </wp:cNvGraphicFramePr>
            <a:graphic>
              <a:graphicData uri="http://schemas.openxmlformats.org/drawingml/2006/picture">
                <pic:pic>
                  <pic:nvPicPr>
                    <pic:cNvPr id="0" name="fig_5_1_network_map_2030.png"/>
                    <pic:cNvPicPr/>
                  </pic:nvPicPr>
                  <pic:blipFill>
                    <a:blip r:embed="rId3"/>
                    <a:stretch>
                      <a:fillRect/>
                    </a:stretch>
                  </pic:blipFill>
                  <pic:spPr>
                    <a:xfrm>
                      <a:off x="0" y="0"/>
                      <a:ext cx="5760720" cy="4083407"/>
                    </a:xfrm>
                    <a:prstGeom prst="rect">
                      <a:avLst/>
                    </a:prstGeom>
                  </pic:spPr>
                </pic:pic>
              </a:graphicData>
            </a:graphic>
          </wp:inline>
        </w:drawing>
      </w:r>
    </w:p>
    <w:p>
      <w:pPr>
        <w:pStyle w:val="Heading1"/>
      </w:pPr>
      <w:r>
        <w:t xml:space="preserve">Task 5.2: Space Savings from PI Packaging</w:t>
      </w:r>
    </w:p>
    <w:p>
      <w:pPr>
        <w:pStyle w:val="Normal"/>
      </w:pPr>
      <w:r>
        <w:t xml:space="preserve">The PI packaging assumptions materially change density. The model uses a 40.0% unit cube reduction from the non-PI package to the PI p-pack configuration. At the 2030 volume level, this cuts pallet need by 33.3% and TEU need by 57.9%. Put differently, the modeled 6-meter ocean unit goes from about 77 units in the non-PI case to about 183 units in the PI case.</w:t>
      </w:r>
    </w:p>
    <w:p>
      <w:pPr>
        <w:pStyle w:val="Normal"/>
      </w:pPr>
      <w:r>
        <w:t xml:space="preserve">In 2030 the same annual demand would require 2,838 non-PI TEUs versus 1,194 PI TEUs. That is a large enough density change to matter strategically because it reduces ocean shipping intensity, port handling dependence, and the number of inland flows that must be coordinated once cargo lands in Europe.</w:t>
      </w:r>
    </w:p>
    <w:p>
      <w:pPr>
        <w:pStyle w:val="Heading1"/>
      </w:pPr>
      <w:r>
        <w:t xml:space="preserve">Task 5.3: Transport Time Reduction</w:t>
      </w:r>
    </w:p>
    <w:p>
      <w:pPr>
        <w:pStyle w:val="Normal"/>
      </w:pPr>
      <w:r>
        <w:t xml:space="preserve">The design reduces transport time by creating a route-backed hierarchy instead of forcing every downstream movement through a narrow DC-centric structure. In the 2030 network, Rotterdam-to-DC drive times are approximately 2.44h to Koeln, 12.34h to Lodz, 15.23h to Rome, and 17.09h to Madrid. Downstream from the DCs, the active route mix contains 116 direct paths, 152 relay-backed paths, 1 DC-transfer paths, and 18 hub-corridor paths.</w:t>
      </w:r>
    </w:p>
    <w:p>
      <w:pPr>
        <w:pStyle w:val="Normal"/>
      </w:pPr>
      <w:r>
        <w:t xml:space="preserve">The route summaries show the same pattern. Koeln is the fastest-positioned DC, with mean downstream elapsed time 8.17h and p95 26.09h. Madrid is the hardest-positioned DC, with mean 7.39h and p95 12.23h. At the service-class level in 2030, mean OTD is about 10.03h for mid-sized metros, 16.44h for closer non-metro markets, and 62.06h for the longest non-metro tail. This is the right signature for a relay-enabled network: a much faster average response than a single-tier network, with a remaining long-tail service penalty for remote markets.</w:t>
      </w:r>
    </w:p>
    <w:p>
      <w:pPr>
        <w:pStyle w:val="Caption"/>
      </w:pPr>
      <w:r>
        <w:t xml:space="preserve">Figure 3. OTD simulation outputs used for transport-time assessment.</w:t>
      </w:r>
    </w:p>
    <w:p>
      <w:pPr>
        <w:pStyle w:val="ImageBlock"/>
      </w:pPr>
      <w:r>
        <w:drawing>
          <wp:inline distT="0" distB="0" distL="0" distR="0">
            <wp:extent cx="5760720" cy="1999979"/>
            <wp:docPr id="3" name="fig_5_3_otd_simulation.png"/>
            <wp:cNvGraphicFramePr>
              <a:graphicFrameLocks noChangeAspect="1"/>
            </wp:cNvGraphicFramePr>
            <a:graphic>
              <a:graphicData uri="http://schemas.openxmlformats.org/drawingml/2006/picture">
                <pic:pic>
                  <pic:nvPicPr>
                    <pic:cNvPr id="0" name="fig_5_3_otd_simulation.png"/>
                    <pic:cNvPicPr/>
                  </pic:nvPicPr>
                  <pic:blipFill>
                    <a:blip r:embed="rId4"/>
                    <a:stretch>
                      <a:fillRect/>
                    </a:stretch>
                  </pic:blipFill>
                  <pic:spPr>
                    <a:xfrm>
                      <a:off x="0" y="0"/>
                      <a:ext cx="5760720" cy="1999979"/>
                    </a:xfrm>
                    <a:prstGeom prst="rect">
                      <a:avLst/>
                    </a:prstGeom>
                  </pic:spPr>
                </pic:pic>
              </a:graphicData>
            </a:graphic>
          </wp:inline>
        </w:drawing>
      </w:r>
    </w:p>
    <w:p>
      <w:pPr>
        <w:pStyle w:val="Heading1"/>
      </w:pPr>
      <w:r>
        <w:t xml:space="preserve">Task 5.4: Joint Shipment Example</w:t>
      </w:r>
    </w:p>
    <w:p>
      <w:pPr>
        <w:pStyle w:val="Normal"/>
      </w:pPr>
      <w:r>
        <w:t xml:space="preserve">The saved illustrative trace is a 2027 example because that is the first year with a complete joint-shipment walkthrough in the output set. It shows a shipment moving step 1: PORT_NL_rotterdam to CAND_DE_koeln via PORT_DC, 4.44h cumulative; step 2: CAND_DE_koeln to METRO_BE_brussels via DC_HUB_DIRECT, 8.63h cumulative. Even in this compact example, the structure differs materially from the old network because cargo is already routed through a hub-aware flow rather than simply being pushed from port to DC and then served from a single downstream warehouse logic.</w:t>
      </w:r>
    </w:p>
    <w:p>
      <w:pPr>
        <w:pStyle w:val="Normal"/>
      </w:pPr>
      <w:r>
        <w:t xml:space="preserve">For an all-Euro-DC mixed shipment, the PI logic supports two operational variants. One is a sealed p-pod path from Savannah to Rotterdam and then to the appropriate Euro DC. The second is a deconsolidate-and-reconsolidate path where p-boxes are sorted by downstream direction and injected into different DC, relay, and hub paths after Rotterdam. The latter is where the PI design creates value relative to the old scenario because mixed cargo can keep flowing without waiting for destination-specific full truckloads.</w:t>
      </w:r>
    </w:p>
    <w:p>
      <w:pPr>
        <w:pStyle w:val="Caption"/>
      </w:pPr>
      <w:r>
        <w:t xml:space="preserve">Figure 4. Task 5 joint-shipment illustration.</w:t>
      </w:r>
    </w:p>
    <w:p>
      <w:pPr>
        <w:pStyle w:val="ImageBlock"/>
      </w:pPr>
      <w:r>
        <w:drawing>
          <wp:inline distT="0" distB="0" distL="0" distR="0">
            <wp:extent cx="5760720" cy="2229829"/>
            <wp:docPr id="4" name="fig_5_4_joint_shipment.png"/>
            <wp:cNvGraphicFramePr>
              <a:graphicFrameLocks noChangeAspect="1"/>
            </wp:cNvGraphicFramePr>
            <a:graphic>
              <a:graphicData uri="http://schemas.openxmlformats.org/drawingml/2006/picture">
                <pic:pic>
                  <pic:nvPicPr>
                    <pic:cNvPr id="0" name="fig_5_4_joint_shipment.png"/>
                    <pic:cNvPicPr/>
                  </pic:nvPicPr>
                  <pic:blipFill>
                    <a:blip r:embed="rId5"/>
                    <a:stretch>
                      <a:fillRect/>
                    </a:stretch>
                  </pic:blipFill>
                  <pic:spPr>
                    <a:xfrm>
                      <a:off x="0" y="0"/>
                      <a:ext cx="5760720" cy="2229829"/>
                    </a:xfrm>
                    <a:prstGeom prst="rect">
                      <a:avLst/>
                    </a:prstGeom>
                  </pic:spPr>
                </pic:pic>
              </a:graphicData>
            </a:graphic>
          </wp:inline>
        </w:drawing>
      </w:r>
    </w:p>
    <w:p>
      <w:pPr>
        <w:pStyle w:val="Heading1"/>
      </w:pPr>
      <w:r>
        <w:t xml:space="preserve">Task 5.5: Customer OTD and Realized Demand</w:t>
      </w:r>
    </w:p>
    <w:p>
      <w:pPr>
        <w:pStyle w:val="Normal"/>
      </w:pPr>
      <w:r>
        <w:t xml:space="preserve">The service matrix translates route times into purchase probability by market class. In 2030, large-metro markets average about 15.00h OTD with 0.995 purchase probability, mid-sized metros average 10.03h, and the closest non-metro markets average 16.44h. The hardest remote non-metro class still averages 62.06h with purchase probability 0.920, which explains why the long-distance tail remains the weakest demand segment.</w:t>
      </w:r>
    </w:p>
    <w:p>
      <w:pPr>
        <w:pStyle w:val="Normal"/>
      </w:pPr>
      <w:r>
        <w:t xml:space="preserve">Realized PI demand rises from 28,602 units in 2027 to 218,466 in 2030 and 335,411 in 2034. Revenue rises in parallel to EUR 99.1M in 2030 and EUR 152.1M in 2034. The route-backed share remains high at 97.02% in 2030, which means the demand uplift is mostly tied to explicit service design rather than to unexplained exogenous optimism.</w:t>
      </w:r>
    </w:p>
    <w:p>
      <w:pPr>
        <w:pStyle w:val="Caption"/>
      </w:pPr>
      <w:r>
        <w:t xml:space="preserve">Figure 5. PI demand uplift across the rollout horizon.</w:t>
      </w:r>
    </w:p>
    <w:p>
      <w:pPr>
        <w:pStyle w:val="ImageBlock"/>
      </w:pPr>
      <w:r>
        <w:drawing>
          <wp:inline distT="0" distB="0" distL="0" distR="0">
            <wp:extent cx="5760720" cy="1999979"/>
            <wp:docPr id="5" name="fig_5_5_demand_uplift.png"/>
            <wp:cNvGraphicFramePr>
              <a:graphicFrameLocks noChangeAspect="1"/>
            </wp:cNvGraphicFramePr>
            <a:graphic>
              <a:graphicData uri="http://schemas.openxmlformats.org/drawingml/2006/picture">
                <pic:pic>
                  <pic:nvPicPr>
                    <pic:cNvPr id="0" name="fig_5_5_demand_uplift.png"/>
                    <pic:cNvPicPr/>
                  </pic:nvPicPr>
                  <pic:blipFill>
                    <a:blip r:embed="rId6"/>
                    <a:stretch>
                      <a:fillRect/>
                    </a:stretch>
                  </pic:blipFill>
                  <pic:spPr>
                    <a:xfrm>
                      <a:off x="0" y="0"/>
                      <a:ext cx="5760720" cy="1999979"/>
                    </a:xfrm>
                    <a:prstGeom prst="rect">
                      <a:avLst/>
                    </a:prstGeom>
                  </pic:spPr>
                </pic:pic>
              </a:graphicData>
            </a:graphic>
          </wp:inline>
        </w:drawing>
      </w:r>
    </w:p>
    <w:p>
      <w:pPr>
        <w:pStyle w:val="Heading1"/>
      </w:pPr>
      <w:r>
        <w:t xml:space="preserve">Task 5.6: Autonomy Targets and Recommendations</w:t>
      </w:r>
    </w:p>
    <w:p>
      <w:pPr>
        <w:pStyle w:val="Normal"/>
      </w:pPr>
      <w:r>
        <w:t xml:space="preserve">The exported autonomy table operationalizes autonomy through relay readiness, the share of DC-to-DC moves needing relay support, and the degree of dual-role hub reuse. By 2030 relay readiness is 69.28%, DC-to-DC relay dependence is 83.33%, and 92.94% of peri-urban hubs are serving a dual role. That supports a lower autonomy requirement than in the non-PI network because the design allows inter-DC support and relay continuity.</w:t>
      </w:r>
    </w:p>
    <w:p>
      <w:pPr>
        <w:pStyle w:val="Normal"/>
      </w:pPr>
      <w:r>
        <w:t xml:space="preserve">Inference from the implemented network: a reasonable lower bound is roughly 1.5 to 2 days of autonomy at about 90% robustness for the network core, while a reasonable upper bound is 4 to 5 days at about 99% robustness for tail protection. A practical recommended target is 2 days at 95% robustness for Koeln and Lodz, and 3 days at 95% robustness for Rome and Madrid because their port ingress and downstream route profiles are longer. Relative to the non-PI scenario, these targets are lower because the PI network explicitly supports cross-network buffering and rebalancing.</w:t>
      </w:r>
    </w:p>
    <w:p>
      <w:pPr>
        <w:pStyle w:val="Caption"/>
      </w:pPr>
      <w:r>
        <w:t xml:space="preserve">Figure 6. Autonomy and relay-readiness summary.</w:t>
      </w:r>
    </w:p>
    <w:p>
      <w:pPr>
        <w:pStyle w:val="ImageBlock"/>
      </w:pPr>
      <w:r>
        <w:drawing>
          <wp:inline distT="0" distB="0" distL="0" distR="0">
            <wp:extent cx="5760720" cy="2799188"/>
            <wp:docPr id="6" name="fig_5_6_autonomy.png"/>
            <wp:cNvGraphicFramePr>
              <a:graphicFrameLocks noChangeAspect="1"/>
            </wp:cNvGraphicFramePr>
            <a:graphic>
              <a:graphicData uri="http://schemas.openxmlformats.org/drawingml/2006/picture">
                <pic:pic>
                  <pic:nvPicPr>
                    <pic:cNvPr id="0" name="fig_5_6_autonomy.png"/>
                    <pic:cNvPicPr/>
                  </pic:nvPicPr>
                  <pic:blipFill>
                    <a:blip r:embed="rId7"/>
                    <a:stretch>
                      <a:fillRect/>
                    </a:stretch>
                  </pic:blipFill>
                  <pic:spPr>
                    <a:xfrm>
                      <a:off x="0" y="0"/>
                      <a:ext cx="5760720" cy="2799188"/>
                    </a:xfrm>
                    <a:prstGeom prst="rect">
                      <a:avLst/>
                    </a:prstGeom>
                  </pic:spPr>
                </pic:pic>
              </a:graphicData>
            </a:graphic>
          </wp:inline>
        </w:drawing>
      </w:r>
    </w:p>
    <w:p>
      <w:pPr>
        <w:pStyle w:val="Heading1"/>
      </w:pPr>
      <w:r>
        <w:t xml:space="preserve">Task 5.7: Simulator Adaptation</w:t>
      </w:r>
    </w:p>
    <w:p>
      <w:pPr>
        <w:pStyle w:val="Normal"/>
      </w:pPr>
      <w:r>
        <w:t xml:space="preserve">The non-PI simulator was adapted by keeping the Task 4-style daily demand kernel but replacing the service logic with a PI route-aware service matrix. The updated pipeline activates the yearly network, builds routes, converts route elapsed time into purchase probability, simulates DC-level daily demand with cyber-week seasonality, and then feeds those daily flows into DC sizing, cost, carbon, and profitability evaluation. This is a substantive change from a simple DC-based demand model because purchase and flow assignment now depend on actual route structure.</w:t>
      </w:r>
    </w:p>
    <w:p>
      <w:pPr>
        <w:pStyle w:val="Normal"/>
      </w:pPr>
      <w:r>
        <w:t xml:space="preserve">The major PI-specific mechanisms are the route-backed service matrix, the relay and consolidation dwell-time logic, the ability to represent DC-to-DC transfers, and the conversion of OTD into realized demand by service class. That makes the simulator suitable for Tasks 5.1 to 5.4 and 5.6, which is exactly how the case frames its role.</w:t>
      </w:r>
    </w:p>
    <w:p>
      <w:pPr>
        <w:pStyle w:val="Heading1"/>
      </w:pPr>
      <w:r>
        <w:t xml:space="preserve">Task 5.8: Validation Using the Proposed Autonomy Logic</w:t>
      </w:r>
    </w:p>
    <w:p>
      <w:pPr>
        <w:pStyle w:val="Normal"/>
      </w:pPr>
      <w:r>
        <w:t xml:space="preserve">Interpreting the PDF's reference to autonomy-target validation as a validation of the autonomy logic from Task 5.6, the current implementation is strongest on structural validation rather than external calibration. Coverage remains above 97% after full rollout, mean detour stays near 1.02, and the route-backed share is about 97% in the mature network. Those are useful checks that the simulated network is behaving coherently.</w:t>
      </w:r>
    </w:p>
    <w:p>
      <w:pPr>
        <w:pStyle w:val="Normal"/>
      </w:pPr>
      <w:r>
        <w:t xml:space="preserve">The DC sizing outputs provide another validation layer. In 2030 the model sizes peak daily throughput at 4,747 units for Koeln, 2,246 for Lodz, 1,495 for Rome, and 965 for Madrid. The saved annual demand intervals show almost no spread under the current configuration, which means the exported uncertainty is low and the model is behaving more like a logic-consistency simulator than a wide-variance Monte Carlo forecast. That is a legitimate modeling choice, but it should be recognized as a limitation.</w:t>
      </w:r>
    </w:p>
    <w:p>
      <w:pPr>
        <w:pStyle w:val="Heading1"/>
      </w:pPr>
      <w:r>
        <w:t xml:space="preserve">Task 5.9: Shipments, Trucks, Distance, Cost, and Logistics Load</w:t>
      </w:r>
    </w:p>
    <w:p>
      <w:pPr>
        <w:pStyle w:val="Normal"/>
      </w:pPr>
      <w:r>
        <w:t xml:space="preserve">The 5.9 output quantifies how the PI network scales operationally. In 2030 it handles 540,520 routed flow units, 55,045 truckloads, and 78,853 road-km, at total transport cost EUR 15.1M. Cost per routed unit is EUR 27.99.</w:t>
      </w:r>
    </w:p>
    <w:p>
      <w:pPr>
        <w:pStyle w:val="Normal"/>
      </w:pPr>
      <w:r>
        <w:t xml:space="preserve">From 2027 to 2034 total transport cost rises from EUR 0.8M to EUR 24.4M, but the network footprint is already fixed after 2030, so most of that growth is a volume effect. The operational interpretation is that the PI network is capable of absorbing higher demand after 2030 without needing another major topology redesign.</w:t>
      </w:r>
    </w:p>
    <w:p>
      <w:pPr>
        <w:pStyle w:val="Caption"/>
      </w:pPr>
      <w:r>
        <w:t xml:space="preserve">Figure 7. Cost and carbon summary from Task 5.</w:t>
      </w:r>
    </w:p>
    <w:p>
      <w:pPr>
        <w:pStyle w:val="ImageBlock"/>
      </w:pPr>
      <w:r>
        <w:drawing>
          <wp:inline distT="0" distB="0" distL="0" distR="0">
            <wp:extent cx="5760720" cy="1550133"/>
            <wp:docPr id="7" name="fig_5_9_cost_carbon.png"/>
            <wp:cNvGraphicFramePr>
              <a:graphicFrameLocks noChangeAspect="1"/>
            </wp:cNvGraphicFramePr>
            <a:graphic>
              <a:graphicData uri="http://schemas.openxmlformats.org/drawingml/2006/picture">
                <pic:pic>
                  <pic:nvPicPr>
                    <pic:cNvPr id="0" name="fig_5_9_cost_carbon.png"/>
                    <pic:cNvPicPr/>
                  </pic:nvPicPr>
                  <pic:blipFill>
                    <a:blip r:embed="rId8"/>
                    <a:stretch>
                      <a:fillRect/>
                    </a:stretch>
                  </pic:blipFill>
                  <pic:spPr>
                    <a:xfrm>
                      <a:off x="0" y="0"/>
                      <a:ext cx="5760720" cy="1550133"/>
                    </a:xfrm>
                    <a:prstGeom prst="rect">
                      <a:avLst/>
                    </a:prstGeom>
                  </pic:spPr>
                </pic:pic>
              </a:graphicData>
            </a:graphic>
          </wp:inline>
        </w:drawing>
      </w:r>
    </w:p>
    <w:p>
      <w:pPr>
        <w:pStyle w:val="Heading1"/>
      </w:pPr>
      <w:r>
        <w:t xml:space="preserve">Task 5.10: DC Storage, Throughput, Design, and Costing</w:t>
      </w:r>
    </w:p>
    <w:p>
      <w:pPr>
        <w:pStyle w:val="Normal"/>
      </w:pPr>
      <w:r>
        <w:t xml:space="preserve">The saved 5.10 artifacts explicitly size the Euro DCs. In 2030 the approximate annual demand allocation is DE koeln mean 109,711 units; ES madrid mean 22,305 units; IT rome mean 34,545 units; PL lodz mean 51,905 units. The resulting peak-throughput sizing is 1,584 pallet-throughput capacity for Koeln, 750 for Lodz, 500 for Rome, and 322 for Madrid, with corresponding storage positions of 702, 332, 221, and 143.</w:t>
      </w:r>
    </w:p>
    <w:p>
      <w:pPr>
        <w:pStyle w:val="Normal"/>
      </w:pPr>
      <w:r>
        <w:t xml:space="preserve">The annual Euro-DC cost estimates are DE koeln EUR 1.2M; ES madrid EUR 0.7M; IT rome EUR 0.8M; PL lodz EUR 0.9M. The exported table does not provide a separate Savannah design sheet in the same format; Savannah is represented more indirectly through the port, transload, and total profitability cost blocks. That means the Euro-DC sizing result is explicit, while the Savannah side is embedded in the broader network-cost structure rather than in a standalone facility design output.</w:t>
      </w:r>
    </w:p>
    <w:p>
      <w:pPr>
        <w:pStyle w:val="Caption"/>
      </w:pPr>
      <w:r>
        <w:t xml:space="preserve">Figure 8. Simulation-backed DC capacity sizing.</w:t>
      </w:r>
    </w:p>
    <w:p>
      <w:pPr>
        <w:pStyle w:val="ImageBlock"/>
      </w:pPr>
      <w:r>
        <w:drawing>
          <wp:inline distT="0" distB="0" distL="0" distR="0">
            <wp:extent cx="5760720" cy="1999979"/>
            <wp:docPr id="8" name="fig_5_10_dc_capacity.png"/>
            <wp:cNvGraphicFramePr>
              <a:graphicFrameLocks noChangeAspect="1"/>
            </wp:cNvGraphicFramePr>
            <a:graphic>
              <a:graphicData uri="http://schemas.openxmlformats.org/drawingml/2006/picture">
                <pic:pic>
                  <pic:nvPicPr>
                    <pic:cNvPr id="0" name="fig_5_10_dc_capacity.png"/>
                    <pic:cNvPicPr/>
                  </pic:nvPicPr>
                  <pic:blipFill>
                    <a:blip r:embed="rId10"/>
                    <a:stretch>
                      <a:fillRect/>
                    </a:stretch>
                  </pic:blipFill>
                  <pic:spPr>
                    <a:xfrm>
                      <a:off x="0" y="0"/>
                      <a:ext cx="5760720" cy="1999979"/>
                    </a:xfrm>
                    <a:prstGeom prst="rect">
                      <a:avLst/>
                    </a:prstGeom>
                  </pic:spPr>
                </pic:pic>
              </a:graphicData>
            </a:graphic>
          </wp:inline>
        </w:drawing>
      </w:r>
    </w:p>
    <w:p>
      <w:pPr>
        <w:pStyle w:val="Heading1"/>
      </w:pPr>
      <w:r>
        <w:t xml:space="preserve">Task 5.11: Transload Center Load and Cost</w:t>
      </w:r>
    </w:p>
    <w:p>
      <w:pPr>
        <w:pStyle w:val="Normal"/>
      </w:pPr>
      <w:r>
        <w:t xml:space="preserve">The PI model assumes two transload centers, one in Savannah and one in Rotterdam, with EUR 1.5 per unit at each center, or EUR 3.0 total per unit crossing both. In 2030 this yields total transload cost of EUR 0.7M. Using the same EUR 3.0-per-unit rule, the 2034 transload burden is about EUR 1.0M. This is a clean cost structure, but it also means the transload analysis is driven mainly by total PI volume rather than by a differentiated queueing model at the ports.</w:t>
      </w:r>
    </w:p>
    <w:p>
      <w:pPr>
        <w:pStyle w:val="Heading1"/>
      </w:pPr>
      <w:r>
        <w:t xml:space="preserve">Task 5.12: Total Demand, Revenue, Cost, and Profitability</w:t>
      </w:r>
    </w:p>
    <w:p>
      <w:pPr>
        <w:pStyle w:val="Normal"/>
      </w:pPr>
      <w:r>
        <w:t xml:space="preserve">In 2030 the PI network delivers 218,466 units and EUR 99.1M of revenue. Total PI cost is EUR 24.1M, composed primarily of transport, last-mile, DC, p-pack, transload, and hub logistics charges. The resulting margin is EUR 75.0M, or 75.69%.</w:t>
      </w:r>
    </w:p>
    <w:p>
      <w:pPr>
        <w:pStyle w:val="Normal"/>
      </w:pPr>
      <w:r>
        <w:t xml:space="preserve">By 2034 the comparison horizon still shows 335,411 realized units and EUR 152.1M of revenue, with network-scope margin of EUR 115.3M. The detailed profitability export currently on disk is 2030-only, but the horizon comparison still supports the conclusion that profitability stays strong after the network matures because later growth exploits the same relay and hub structure rather than expanding it again.</w:t>
      </w:r>
    </w:p>
    <w:p>
      <w:pPr>
        <w:pStyle w:val="Caption"/>
      </w:pPr>
      <w:r>
        <w:t xml:space="preserve">Figure 9. PI profitability by year.</w:t>
      </w:r>
    </w:p>
    <w:p>
      <w:pPr>
        <w:pStyle w:val="ImageBlock"/>
      </w:pPr>
      <w:r>
        <w:drawing>
          <wp:inline distT="0" distB="0" distL="0" distR="0">
            <wp:extent cx="5760720" cy="1999979"/>
            <wp:docPr id="9" name="fig_5_12_profitability.png"/>
            <wp:cNvGraphicFramePr>
              <a:graphicFrameLocks noChangeAspect="1"/>
            </wp:cNvGraphicFramePr>
            <a:graphic>
              <a:graphicData uri="http://schemas.openxmlformats.org/drawingml/2006/picture">
                <pic:pic>
                  <pic:nvPicPr>
                    <pic:cNvPr id="0" name="fig_5_12_profitability.png"/>
                    <pic:cNvPicPr/>
                  </pic:nvPicPr>
                  <pic:blipFill>
                    <a:blip r:embed="rId11"/>
                    <a:stretch>
                      <a:fillRect/>
                    </a:stretch>
                  </pic:blipFill>
                  <pic:spPr>
                    <a:xfrm>
                      <a:off x="0" y="0"/>
                      <a:ext cx="5760720" cy="1999979"/>
                    </a:xfrm>
                    <a:prstGeom prst="rect">
                      <a:avLst/>
                    </a:prstGeom>
                  </pic:spPr>
                </pic:pic>
              </a:graphicData>
            </a:graphic>
          </wp:inline>
        </w:drawing>
      </w:r>
    </w:p>
    <w:p>
      <w:pPr>
        <w:pStyle w:val="Heading1"/>
      </w:pPr>
      <w:r>
        <w:t xml:space="preserve">Task 5.13: Energy Use and Greenhouse Gas Emissions</w:t>
      </w:r>
    </w:p>
    <w:p>
      <w:pPr>
        <w:pStyle w:val="Normal"/>
      </w:pPr>
      <w:r>
        <w:t xml:space="preserve">The implementation quantifies emissions directly using truck-class distance factors and reports the result as CO2. In 2030 the network emits 6,901,220 kg CO2, or 12.77 kg per routed unit. By 2034 the total rises to 11,202,802 kg CO2.</w:t>
      </w:r>
    </w:p>
    <w:p>
      <w:pPr>
        <w:pStyle w:val="Normal"/>
      </w:pPr>
      <w:r>
        <w:t xml:space="preserve">Strictly speaking, the repo's saved Task 5 outputs export emissions rather than a separate fuel or energy field. The energy logic is therefore embedded in the truck-distance emission methodology rather than reported as a standalone liters or kWh measure. For this report, the greenhouse-gas estimate is the directly supported answer from the model outputs.</w:t>
      </w:r>
    </w:p>
    <w:p>
      <w:pPr>
        <w:pStyle w:val="Caption"/>
      </w:pPr>
      <w:r>
        <w:t xml:space="preserve">Figure 10. Lane-level carbon view for the PI network.</w:t>
      </w:r>
    </w:p>
    <w:p>
      <w:pPr>
        <w:pStyle w:val="ImageBlock"/>
      </w:pPr>
      <w:r>
        <w:drawing>
          <wp:inline distT="0" distB="0" distL="0" distR="0">
            <wp:extent cx="5760720" cy="2485700"/>
            <wp:docPr id="10" name="fig_5_9_carbon_by_lane.png"/>
            <wp:cNvGraphicFramePr>
              <a:graphicFrameLocks noChangeAspect="1"/>
            </wp:cNvGraphicFramePr>
            <a:graphic>
              <a:graphicData uri="http://schemas.openxmlformats.org/drawingml/2006/picture">
                <pic:pic>
                  <pic:nvPicPr>
                    <pic:cNvPr id="0" name="fig_5_9_carbon_by_lane.png"/>
                    <pic:cNvPicPr/>
                  </pic:nvPicPr>
                  <pic:blipFill>
                    <a:blip r:embed="rId9"/>
                    <a:stretch>
                      <a:fillRect/>
                    </a:stretch>
                  </pic:blipFill>
                  <pic:spPr>
                    <a:xfrm>
                      <a:off x="0" y="0"/>
                      <a:ext cx="5760720" cy="2485700"/>
                    </a:xfrm>
                    <a:prstGeom prst="rect">
                      <a:avLst/>
                    </a:prstGeom>
                  </pic:spPr>
                </pic:pic>
              </a:graphicData>
            </a:graphic>
          </wp:inline>
        </w:drawing>
      </w:r>
    </w:p>
    <w:p>
      <w:pPr>
        <w:pStyle w:val="Heading1"/>
      </w:pPr>
      <w:r>
        <w:t xml:space="preserve">Task 5.14: Contrast with the Non-PI Task 4 Network</w:t>
      </w:r>
    </w:p>
    <w:p>
      <w:pPr>
        <w:pStyle w:val="Normal"/>
      </w:pPr>
      <w:r>
        <w:t xml:space="preserve">The matched comparison is the strongest argument for the PI scenario. In 2030 realized demand rises from 73,403 units in the old network to 218,466 units in the PI network, a 197.6% uplift. Transport cost per unit falls from EUR 354.05 to EUR 69.26, while matched network-scope cost per unit falls from EUR 1084.48 to EUR 110.29.</w:t>
      </w:r>
    </w:p>
    <w:p>
      <w:pPr>
        <w:pStyle w:val="Normal"/>
      </w:pPr>
      <w:r>
        <w:t xml:space="preserve">Across the full 2027-2034 horizon, PI delivers 201.5% more realized units, 78.2% lower transport cost per unit, and 88.2% lower matched network-scope cost per unit. It also cuts shipping intensity by 94.8%. The tradeoff is orchestration complexity: in 2030 the remaining gaps are a 2.60 percentage-point coverage shortfall, 30.7% of the relay mesh not fully ready, and a 16.74-hour mean-to-p95 service tail spread.</w:t>
      </w:r>
    </w:p>
    <w:p>
      <w:pPr>
        <w:pStyle w:val="Caption"/>
      </w:pPr>
      <w:r>
        <w:t xml:space="preserve">Figure 11. Matched yearly KPI comparison: PI versus old network.</w:t>
      </w:r>
    </w:p>
    <w:p>
      <w:pPr>
        <w:pStyle w:val="ImageBlock"/>
      </w:pPr>
      <w:r>
        <w:drawing>
          <wp:inline distT="0" distB="0" distL="0" distR="0">
            <wp:extent cx="5760720" cy="3719885"/>
            <wp:docPr id="11" name="pi_vs_old_performance_overview.png"/>
            <wp:cNvGraphicFramePr>
              <a:graphicFrameLocks noChangeAspect="1"/>
            </wp:cNvGraphicFramePr>
            <a:graphic>
              <a:graphicData uri="http://schemas.openxmlformats.org/drawingml/2006/picture">
                <pic:pic>
                  <pic:nvPicPr>
                    <pic:cNvPr id="0" name="pi_vs_old_performance_overview.png"/>
                    <pic:cNvPicPr/>
                  </pic:nvPicPr>
                  <pic:blipFill>
                    <a:blip r:embed="rId12"/>
                    <a:stretch>
                      <a:fillRect/>
                    </a:stretch>
                  </pic:blipFill>
                  <pic:spPr>
                    <a:xfrm>
                      <a:off x="0" y="0"/>
                      <a:ext cx="5760720" cy="3719885"/>
                    </a:xfrm>
                    <a:prstGeom prst="rect">
                      <a:avLst/>
                    </a:prstGeom>
                  </pic:spPr>
                </pic:pic>
              </a:graphicData>
            </a:graphic>
          </wp:inline>
        </w:drawing>
      </w:r>
    </w:p>
    <w:p>
      <w:pPr>
        <w:pStyle w:val="Caption"/>
      </w:pPr>
      <w:r>
        <w:t xml:space="preserve">Figure 12. Efficiency frontier comparison: cost per unit versus realized demand.</w:t>
      </w:r>
    </w:p>
    <w:p>
      <w:pPr>
        <w:pStyle w:val="ImageBlock"/>
      </w:pPr>
      <w:r>
        <w:drawing>
          <wp:inline distT="0" distB="0" distL="0" distR="0">
            <wp:extent cx="5760720" cy="3861039"/>
            <wp:docPr id="12" name="pi_vs_old_efficiency_frontier.png"/>
            <wp:cNvGraphicFramePr>
              <a:graphicFrameLocks noChangeAspect="1"/>
            </wp:cNvGraphicFramePr>
            <a:graphic>
              <a:graphicData uri="http://schemas.openxmlformats.org/drawingml/2006/picture">
                <pic:pic>
                  <pic:nvPicPr>
                    <pic:cNvPr id="0" name="pi_vs_old_efficiency_frontier.png"/>
                    <pic:cNvPicPr/>
                  </pic:nvPicPr>
                  <pic:blipFill>
                    <a:blip r:embed="rId13"/>
                    <a:stretch>
                      <a:fillRect/>
                    </a:stretch>
                  </pic:blipFill>
                  <pic:spPr>
                    <a:xfrm>
                      <a:off x="0" y="0"/>
                      <a:ext cx="5760720" cy="3861039"/>
                    </a:xfrm>
                    <a:prstGeom prst="rect">
                      <a:avLst/>
                    </a:prstGeom>
                  </pic:spPr>
                </pic:pic>
              </a:graphicData>
            </a:graphic>
          </wp:inline>
        </w:drawing>
      </w:r>
    </w:p>
    <w:p>
      <w:pPr>
        <w:pStyle w:val="Caption"/>
      </w:pPr>
      <w:r>
        <w:t xml:space="preserve">Figure 13. Shipping intensity and DC-load comparison.</w:t>
      </w:r>
    </w:p>
    <w:p>
      <w:pPr>
        <w:pStyle w:val="ImageBlock"/>
      </w:pPr>
      <w:r>
        <w:drawing>
          <wp:inline distT="0" distB="0" distL="0" distR="0">
            <wp:extent cx="5760720" cy="2330276"/>
            <wp:docPr id="13" name="pi_vs_old_shipping_and_dc_load.png"/>
            <wp:cNvGraphicFramePr>
              <a:graphicFrameLocks noChangeAspect="1"/>
            </wp:cNvGraphicFramePr>
            <a:graphic>
              <a:graphicData uri="http://schemas.openxmlformats.org/drawingml/2006/picture">
                <pic:pic>
                  <pic:nvPicPr>
                    <pic:cNvPr id="0" name="pi_vs_old_shipping_and_dc_load.png"/>
                    <pic:cNvPicPr/>
                  </pic:nvPicPr>
                  <pic:blipFill>
                    <a:blip r:embed="rId14"/>
                    <a:stretch>
                      <a:fillRect/>
                    </a:stretch>
                  </pic:blipFill>
                  <pic:spPr>
                    <a:xfrm>
                      <a:off x="0" y="0"/>
                      <a:ext cx="5760720" cy="2330276"/>
                    </a:xfrm>
                    <a:prstGeom prst="rect">
                      <a:avLst/>
                    </a:prstGeom>
                  </pic:spPr>
                </pic:pic>
              </a:graphicData>
            </a:graphic>
          </wp:inline>
        </w:drawing>
      </w:r>
    </w:p>
    <w:p>
      <w:pPr>
        <w:pStyle w:val="Caption"/>
      </w:pPr>
      <w:r>
        <w:t xml:space="preserve">Figure 14. Tradeoff overview for the PI network.</w:t>
      </w:r>
    </w:p>
    <w:p>
      <w:pPr>
        <w:pStyle w:val="ImageBlock"/>
      </w:pPr>
      <w:r>
        <w:drawing>
          <wp:inline distT="0" distB="0" distL="0" distR="0">
            <wp:extent cx="5760720" cy="3719885"/>
            <wp:docPr id="14" name="pi_tradeoff_overview.png"/>
            <wp:cNvGraphicFramePr>
              <a:graphicFrameLocks noChangeAspect="1"/>
            </wp:cNvGraphicFramePr>
            <a:graphic>
              <a:graphicData uri="http://schemas.openxmlformats.org/drawingml/2006/picture">
                <pic:pic>
                  <pic:nvPicPr>
                    <pic:cNvPr id="0" name="pi_tradeoff_overview.png"/>
                    <pic:cNvPicPr/>
                  </pic:nvPicPr>
                  <pic:blipFill>
                    <a:blip r:embed="rId15"/>
                    <a:stretch>
                      <a:fillRect/>
                    </a:stretch>
                  </pic:blipFill>
                  <pic:spPr>
                    <a:xfrm>
                      <a:off x="0" y="0"/>
                      <a:ext cx="5760720" cy="3719885"/>
                    </a:xfrm>
                    <a:prstGeom prst="rect">
                      <a:avLst/>
                    </a:prstGeom>
                  </pic:spPr>
                </pic:pic>
              </a:graphicData>
            </a:graphic>
          </wp:inline>
        </w:drawing>
      </w:r>
    </w:p>
    <w:p>
      <w:pPr>
        <w:pStyle w:val="Heading1"/>
      </w:pPr>
      <w:r>
        <w:t xml:space="preserve">Task 5.15: Should BotWorld Relax the Rotterdam-Only Rule?</w:t>
      </w:r>
    </w:p>
    <w:p>
      <w:pPr>
        <w:pStyle w:val="Normal"/>
      </w:pPr>
      <w:r>
        <w:t xml:space="preserve">Inference from the current model: probably yes, but conditionally. The current Task 5 implementation routes all transatlantic flows through Rotterdam, so it does not simulate a competing-port scenario directly. However, the mature network still shows Rotterdam-to-Madrid drive time of about 17.09h and Rotterdam-to-Rome drive time of about 15.23h before downstream market distribution begins. That suggests southern and western markets are carrying a meaningful inland penalty under the Rotterdam-only rule.</w:t>
      </w:r>
    </w:p>
    <w:p>
      <w:pPr>
        <w:pStyle w:val="Normal"/>
      </w:pPr>
      <w:r>
        <w:t xml:space="preserve">A reasonable strategic recommendation is therefore to treat Rotterdam as the anchor port for the northwestern and central network, but to test optional Mediterranean or Iberian entry ports for the Rome, Madrid, and later southeastern demand basins. The benefit is plausible because the PI network is already designed to exploit open ports and flexible downstream hub routing. The main caution is that this claim is an inference from route geometry and current cost structure, not a separately simulated port-choice optimization in the saved repo outputs.</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40" w:line="300" w:lineRule="auto"/>
    </w:pPr>
  </w:style>
  <w:style w:type="paragraph" w:styleId="Title">
    <w:name w:val="Title"/>
    <w:basedOn w:val="Normal"/>
    <w:pPr>
      <w:spacing w:after="220"/>
      <w:jc w:val="center"/>
    </w:pPr>
    <w:rPr>
      <w:b/>
      <w:sz w:val="30"/>
    </w:rPr>
  </w:style>
  <w:style w:type="paragraph" w:styleId="Heading1">
    <w:name w:val="heading 1"/>
    <w:basedOn w:val="Normal"/>
    <w:pPr>
      <w:spacing w:before="180" w:after="100"/>
    </w:pPr>
    <w:rPr>
      <w:b/>
      <w:sz w:val="26"/>
    </w:rPr>
  </w:style>
  <w:style w:type="paragraph" w:styleId="Caption">
    <w:name w:val="Caption"/>
    <w:basedOn w:val="Normal"/>
    <w:pPr>
      <w:spacing w:before="40" w:after="60"/>
    </w:pPr>
    <w:rPr>
      <w:i/>
      <w:sz w:val="18"/>
    </w:rPr>
  </w:style>
  <w:style w:type="paragraph" w:styleId="ImageBlock">
    <w:name w:val="ImageBlock"/>
    <w:basedOn w:val="Normal"/>
    <w:pPr>
      <w:jc w:val="center"/>
      <w:spacing w:after="1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5 Subreport</dc:title>
  <dc:creator>Codex</dc:creator>
  <cp:lastModifiedBy>Codex</cp:lastModifiedBy>
  <dcterms:created xsi:type="dcterms:W3CDTF">2026-03-12T20:44:10Z</dcterms:created>
  <dcterms:modified xsi:type="dcterms:W3CDTF">2026-03-12T20:44:10Z</dcterms:modified>
</cp:coreProperties>
</file>