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Summary of the patient characteristics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25"/>
        <w:gridCol w:w="1976"/>
        <w:gridCol w:w="1940"/>
        <w:gridCol w:w="1976"/>
      </w:tblGrid>
      <w:tr>
        <w:trPr>
          <w:trHeight w:val="574" w:hRule="auto"/>
          <w:tblHeader/>
        </w:trPr>
        header 1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Melanoma    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 RCC       </w:t>
            </w:r>
          </w:p>
        </w:tc>
        <w:tc>
          <w:tcPr>
            <w:tcBorders>
              <w:bottom w:val="none" w:sz="0" w:space="0" w:color="FFFFFF"/>
              <w:top w:val="single" w:sz="1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NSCLC      </w:t>
            </w:r>
          </w:p>
        </w:tc>
      </w:tr>
      <w:tr>
        <w:trPr>
          <w:trHeight w:val="571" w:hRule="auto"/>
          <w:tblHeader/>
        </w:trPr>
        header 2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N=1199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N=261      </w:t>
            </w:r>
          </w:p>
        </w:tc>
        <w:tc>
          <w:tcPr>
            <w:tcBorders>
              <w:bottom w:val="single" w:sz="1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tru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     N=667      </w:t>
            </w:r>
          </w:p>
        </w:tc>
      </w:tr>
      <w:tr>
        <w:trPr>
          <w:trHeight w:val="574" w:hRule="auto"/>
        </w:trPr>
        body 1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Sex: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487 (40.6%)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59 (22.6%)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386 (57.9%)   </w:t>
            </w:r>
          </w:p>
        </w:tc>
      </w:tr>
      <w:tr>
        <w:trPr>
          <w:trHeight w:val="61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712 (59.4%)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200 (76.6%)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281 (42.1%)   </w:t>
            </w:r>
          </w:p>
        </w:tc>
      </w:tr>
      <w:tr>
        <w:trPr>
          <w:trHeight w:val="61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 (0.0%)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2 (0.7%)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 (0.0%)    </w:t>
            </w:r>
          </w:p>
        </w:tc>
      </w:tr>
      <w:tr>
        <w:trPr>
          <w:trHeight w:val="61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70.0 [59.1;76.9]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65.4 [58.4;72.3]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69.0 [63.0;75.0]</w:t>
            </w:r>
          </w:p>
        </w:tc>
      </w:tr>
      <w:tr>
        <w:trPr>
          <w:trHeight w:val="571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Treatment line: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First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1031 (86.0%)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189 (72.4%)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477 (71.5%)   </w:t>
            </w:r>
          </w:p>
        </w:tc>
      </w:tr>
      <w:tr>
        <w:trPr>
          <w:trHeight w:val="61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168 (14.0%)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72 (27.6%)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190 (28.5%)   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Brain metastases: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1011 (84.3%)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250 (95.8%)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593 (88.9%)   </w:t>
            </w:r>
          </w:p>
        </w:tc>
      </w:tr>
      <w:tr>
        <w:trPr>
          <w:trHeight w:val="61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188 (15.7%)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11 (4.2%)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74 (11.1%)   </w:t>
            </w:r>
          </w:p>
        </w:tc>
      </w:tr>
      <w:tr>
        <w:trPr>
          <w:trHeight w:val="57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ECOG Performance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PS=0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787 (65.6%)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128 (49.0%)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186 (27.9%)   </w:t>
            </w:r>
          </w:p>
        </w:tc>
      </w:tr>
      <w:tr>
        <w:trPr>
          <w:trHeight w:val="61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PS≥1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409 (34.1%)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130 (49.8%)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478 (71.7%)   </w:t>
            </w:r>
          </w:p>
        </w:tc>
      </w:tr>
      <w:tr>
        <w:trPr>
          <w:trHeight w:val="61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3 (0.2%)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3 (1.1%)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3 (0.4%)    </w:t>
            </w:r>
          </w:p>
        </w:tc>
      </w:tr>
      <w:tr>
        <w:trPr>
          <w:trHeight w:val="61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Objective Response: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576 (48.0%)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79 (30.3%)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73 (10.9%)   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623 (52.0%)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182 (69.7%)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594 (89.1%)   </w:t>
            </w:r>
          </w:p>
        </w:tc>
      </w:tr>
      <w:tr>
        <w:trPr>
          <w:trHeight w:val="61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CPI Regimen: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Anti-PD1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789 (65.8%)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61 (23.4%)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667 (100.0%)  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Anti-PD1+Anti-CTLA4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410 (34.2%)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200 (76.6%)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0 (0.0%)    </w:t>
            </w:r>
          </w:p>
        </w:tc>
      </w:tr>
      <w:tr>
        <w:trPr>
          <w:trHeight w:val="61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Previous adjuvant therapy: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1098 (91.6%)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101 (8.4%)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Melanoma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Cutaneous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949 (79.1%)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Mucosal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38 (3.1%)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Unk. primary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212 (17.7%)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71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BRAF mutation: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Mutant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504 (42.0%)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Wild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667 (55.6%)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28 (2.3%)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AJCC 8th stage: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III/M1a/M1b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503 (42.0%)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M1c/M1d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696 (58.0%)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68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LDH: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Elevated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339 (28.3%)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821 (68.5%)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39 (3.2%)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71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PD-L1 status: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PDL1&lt;50%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87 (13.0%)   </w:t>
            </w:r>
          </w:p>
        </w:tc>
      </w:tr>
      <w:tr>
        <w:trPr>
          <w:trHeight w:val="61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PDL1≥50%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546 (81.9%)   </w:t>
            </w:r>
          </w:p>
        </w:tc>
      </w:tr>
      <w:tr>
        <w:trPr>
          <w:trHeight w:val="617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Missing data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34 (5.1%)    </w:t>
            </w:r>
          </w:p>
        </w:tc>
      </w:tr>
      <w:tr>
        <w:trPr>
          <w:trHeight w:val="61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NSCLC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Nonsquamous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546 (81.9%)   </w:t>
            </w:r>
          </w:p>
        </w:tc>
      </w:tr>
      <w:tr>
        <w:trPr>
          <w:trHeight w:val="617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Squamous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121 (18.1%)   </w:t>
            </w:r>
          </w:p>
        </w:tc>
      </w:tr>
      <w:tr>
        <w:trPr>
          <w:trHeight w:val="615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Dead_RCC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. [.;.]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 [0.00;1.00]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. [.;.]     </w:t>
            </w:r>
          </w:p>
        </w:tc>
      </w:tr>
      <w:tr>
        <w:trPr>
          <w:trHeight w:val="61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RCC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Clear cell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225 (86.2%)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Non clear cell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36 (13.8%)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Sarcomatoid subtype: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Non sarcomatoid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182 (69.7%)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Sarcomatoid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79 (30.3%)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574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IMDC: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         </w:t>
            </w:r>
          </w:p>
        </w:tc>
      </w:tr>
      <w:tr>
        <w:trPr>
          <w:trHeight w:val="617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Good/Intermediate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187 (71.6%)   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  <w:tr>
        <w:trPr>
          <w:trHeight w:val="617" w:hRule="auto"/>
        </w:trPr>
        body56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Poor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74 (28.4%)   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     NA       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2025-11-29T15:06:38Z</dcterms:created>
  <dcterms:modified xsi:type="dcterms:W3CDTF">2025-11-29T15:06:38Z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word_document</vt:lpwstr>
  </property>
</Properties>
</file>