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40"/>
        <w:gridCol w:w="1976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    RCC 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   NSCLC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N=261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N=667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59 (22.6%)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386 (57.9%)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281 (42.1%)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2 (0.7%)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65.4 [58.4;72.3]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69.0 [63.0;75.0]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189 (72.4%)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477 (71.5%)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72 (27.6%)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190 (28.5%)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250 (95.8%)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593 (88.9%)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11 (4.2%)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74 (11.1%)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128 (49.0%)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186 (27.9%)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130 (49.8%)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478 (71.7%)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3 (1.1%)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3 (0.4%)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73 (10.9%)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594 (89.1%)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61 (23.4%)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667 (100.0%)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87 (13.0%)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34 (5.1%)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121 (18.1%)   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225 (86.2%)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36 (13.8%)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187 (71.6%)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74 (28.4%)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2025-08-27T17:02:40Z</dcterms:created>
  <dcterms:modified xsi:type="dcterms:W3CDTF">2025-08-27T17:02:40Z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