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Supplementary table 1. Pairwise comparisons among baseline features in the cohorts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5"/>
        <w:gridCol w:w="2440"/>
        <w:gridCol w:w="2709"/>
        <w:gridCol w:w="2159"/>
      </w:tblGrid>
      <w:tr>
        <w:trPr>
          <w:trHeight w:val="615" w:hRule="auto"/>
          <w:tblHeader/>
        </w:trPr>
        header 1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p.Melanoma vs RCC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p.Melanoma vs NSCLC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p.RCC vs NSCLC</w:t>
            </w:r>
          </w:p>
        </w:tc>
      </w:tr>
      <w:tr>
        <w:trPr>
          <w:trHeight w:val="571" w:hRule="auto"/>
          <w:tblHeader/>
        </w:trPr>
        header 2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N=1199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  N=261 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N=667     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Sex: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0.764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line: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0.847     </w:t>
            </w:r>
          </w:p>
        </w:tc>
      </w:tr>
      <w:tr>
        <w:trPr>
          <w:trHeight w:val="57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Brain metastases: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0.008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0.003     </w:t>
            </w:r>
          </w:p>
        </w:tc>
      </w:tr>
      <w:tr>
        <w:trPr>
          <w:trHeight w:val="57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ECOG Performance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PS=0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PS≥1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Objective Response: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6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CPI Regimen: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  <w:tr>
        <w:trPr>
          <w:trHeight w:val="57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&lt;0.001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&lt;0.001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&lt;0.001    </w:t>
            </w:r>
          </w:p>
        </w:tc>
      </w:tr>
      <w:tr>
        <w:trPr>
          <w:trHeight w:val="574" w:hRule="auto"/>
        </w:trPr>
        body21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Anti-PD1+Anti-CTLA4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2025-11-28T22:01:20Z</dcterms:created>
  <dcterms:modified xsi:type="dcterms:W3CDTF">2025-11-28T22:01:20Z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