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Supplementary table 1. Pairwise comparisons among baseline features in the cohorts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5"/>
        <w:gridCol w:w="2440"/>
        <w:gridCol w:w="2709"/>
        <w:gridCol w:w="2159"/>
      </w:tblGrid>
      <w:tr>
        <w:trPr>
          <w:trHeight w:val="615" w:hRule="auto"/>
          <w:tblHeader/>
        </w:trPr>
        header 1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p.Melanoma vs RCC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p.Melanoma vs NSCLC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p.RCC vs NSCLC</w:t>
            </w:r>
          </w:p>
        </w:tc>
      </w:tr>
      <w:tr>
        <w:trPr>
          <w:trHeight w:val="571" w:hRule="auto"/>
          <w:tblHeader/>
        </w:trPr>
        header 2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N=1199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  N=261 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N=667     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Sex: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0.764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line: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0.847     </w:t>
            </w:r>
          </w:p>
        </w:tc>
      </w:tr>
      <w:tr>
        <w:trPr>
          <w:trHeight w:val="57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Brain metastases: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0.008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0.003     </w:t>
            </w:r>
          </w:p>
        </w:tc>
      </w:tr>
      <w:tr>
        <w:trPr>
          <w:trHeight w:val="57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ECOG Performance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PS=0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PS≥1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Objective Response: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6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CPI Regimen: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4" w:hRule="auto"/>
        </w:trPr>
        body21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Anti-PD1+Anti-CTLA4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2026-04-27T07:28:56Z</dcterms:created>
  <dcterms:modified xsi:type="dcterms:W3CDTF">2026-04-27T07:28:56Z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