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08"/>
        <w:gridCol w:w="1597"/>
        <w:gridCol w:w="1597"/>
        <w:gridCol w:w="1597"/>
        <w:gridCol w:w="1597"/>
        <w:gridCol w:w="1132"/>
        <w:gridCol w:w="1132"/>
      </w:tblGrid>
      <w:tr>
        <w:trPr>
          <w:trHeight w:val="778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 2012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(n = 241)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 2014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(n = 284)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 2016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(n = 313)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 2018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(n = 325)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p-value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q-value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Gender, n (%)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143 (59)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165 (58)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171 (55)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 (62)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 (41)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119 (42)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142 (45)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124 (38)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Age at 1st Treatment, 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68 (56 – 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68 (59 – 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 (59 – 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71 (60 – 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BRAF status,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0.295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Wild-type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88 (55)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 (56)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164 (54)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151 (48)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Mutant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 (45)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120 (44)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140 (46)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166 (52)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First-line treatments,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 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 (30)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 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68 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Anti-CTLA-4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136 (48)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Anti-PD-1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149 (48)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157 (48)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Anti-PD-1 plus Anti-CTLA-4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79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BRAFi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 (5.8)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67 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Experimental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IFN/IL2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58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IL2 intralesional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Temozolomid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 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Brain metastases,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68 (28)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68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85 (27)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68 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0.288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Disease stage,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0.036 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0.132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M1c/M1d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165 (68)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196 (69)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213 (68)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193 (59)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III/M1a/M1b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76 (32)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88 (31)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 (32)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 (41)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LDH 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0.423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&gt;= ULN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 (47)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124 (47)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121 (42)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124 (41)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&lt; ULN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 (53)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142 (53)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167 (58)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178 (59)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Performance status,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0.132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0/1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155 (65)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196 (69)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216 (71)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243 (76)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2/3/4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83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 (31)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90 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78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Steroids,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 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 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 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0.027 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0.132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Comorbidities,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58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0.132</w:t>
            </w:r>
          </w:p>
        </w:tc>
      </w:tr>
      <w:tr>
        <w:trPr>
          <w:trHeight w:val="61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Autoimmunity,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 (8.3)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 (8.9)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0.037 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0.132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Other malignancies,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 (9.5)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0.398</w:t>
            </w:r>
          </w:p>
        </w:tc>
      </w:tr>
      <w:tr>
        <w:trPr>
          <w:trHeight w:val="61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eligible,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0.307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trial-like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131 (46)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128 (41)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 (47)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trial-excluded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 (60)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153 (54)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185 (59)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173 (53)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 discovery rate correction for multiple testing</w:t>
            </w:r>
          </w:p>
        </w:tc>
      </w:tr>
    </w:tbl>
    <w:sectPr>
      <w:pgMar w:header="720" w:bottom="1440" w:top="1440" w:right="1440" w:left="1440" w:footer="720" w:gutter="720"/>
      <w:pgSz w:h="11952" w:w="1972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2023-12-28T21:26:48Z</dcterms:modified>
  <cp:category/>
</cp:coreProperties>
</file>