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41"/>
        <w:gridCol w:w="2209"/>
        <w:gridCol w:w="1132"/>
        <w:gridCol w:w="2209"/>
        <w:gridCol w:w="1132"/>
        <w:gridCol w:w="2209"/>
        <w:gridCol w:w="1132"/>
      </w:tblGrid>
      <w:tr>
        <w:trPr>
          <w:trHeight w:val="77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BRAF Wild-type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2016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BRAF Mutant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2018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BRAF Wild-type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HR (95% CI)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BRAF status - Year of diagnosis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2016 BRAF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0.93 (0.72 to 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1.23 (0.94 to 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2016 BRAF MT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1.08 (0.83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 (1.01 to 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2018 BRAF WT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0.81 (0.62 to 1.06)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0.75 (0.57 to 0.99)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2018 BRAF MT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 (0.61 to 1.03)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0.74 (0.56 to 0.96)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0.98 (0.74 to 1.29)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0.87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1440" w:top="1440" w:right="1440" w:left="1440" w:footer="720" w:gutter="720"/>
      <w:pgSz w:h="11952" w:w="1972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2023-12-28T21:28:09Z</dcterms:modified>
  <cp:category/>
</cp:coreProperties>
</file>