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beta Coefficient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Gender: Female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-0.29650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0.10584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Disease stage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&amp; CNS metastases: M1c/M1d no BM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0.1402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Disease stage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&amp; CNS metastases: III/M1a/M1b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2e-04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Immunosuppressive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medications: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0.0134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 malignancies: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0.0226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Performance status: 2/3/4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&lt; 0.0001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LDH level (log)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&lt; 0.0001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0.9097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Age'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0.0928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S0(no treatment) = 0.37374, 0.2959, 0.24997, 0.2004 (1, 2, 3, 4-year survival baseline hazard function, no treatment)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S0(anti-PD-1) = 0.679, 0.47023, 0.38378, 0.28635 (1, 2, 3, 4-survival baseline hazard function, Anti-PD-1 treatment)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S0(Anti-PD-1 plus Anti-CTLA-4) = 0.61427, 0.44714, 0.34122, 0.31653 (1, 2, 3, 4-survival baseline hazard function, Anti-PD-1 plus Anti-CTLA-4 treatment)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S0(BRAF-inhibitors based) = 0.53886, 0.30428, 0.17171, 0.15744 (1, 2, 3, 4-survival baseline hazard function, BRAF-inhibitors based treatments)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</w:tr>
    </w:tbl>
    <w:sectPr>
      <w:pgMar w:header="720" w:bottom="1440" w:top="1440" w:right="1440" w:left="1440" w:footer="720" w:gutter="720"/>
      <w:pgSz w:h="11952" w:w="1972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2023-12-29T17:53:34Z</dcterms:modified>
  <cp:category/>
</cp:coreProperties>
</file>