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HELEP — Emergency Management Platform</w:t>
      </w:r>
    </w:p>
    <w:p>
      <w:pPr>
        <w:spacing w:after="80"/>
        <w:jc w:val="center"/>
      </w:pPr>
      <w:r>
        <w:rPr>
          <w:rFonts w:ascii="Arial" w:cs="Arial" w:eastAsia="Arial" w:hAnsi="Arial"/>
          <w:color w:val="444444"/>
          <w:sz w:val="28"/>
          <w:szCs w:val="28"/>
        </w:rPr>
        <w:t xml:space="preserve">L4 Design Process Document</w:t>
      </w:r>
    </w:p>
    <w:p>
      <w:pPr>
        <w:spacing w:after="480"/>
        <w:jc w:val="center"/>
      </w:pPr>
      <w:r>
        <w:rPr>
          <w:rFonts w:ascii="Arial" w:cs="Arial" w:eastAsia="Arial" w:hAnsi="Arial"/>
          <w:color w:val="666666"/>
          <w:sz w:val="22"/>
          <w:szCs w:val="22"/>
        </w:rPr>
        <w:t xml:space="preserve">May 13, 2026  |  Student: ___________________________</w:t>
      </w:r>
    </w:p>
    <w:p>
      <w:pPr>
        <w:pStyle w:val="Heading1"/>
      </w:pPr>
      <w:r>
        <w:t xml:space="preserve">1. Project Specification</w:t>
      </w:r>
    </w:p>
    <w:p>
      <w:pPr>
        <w:spacing w:after="120"/>
      </w:pPr>
      <w:r>
        <w:t xml:space="preserve">HELEP (Help Emergency Platform) addresses the critical gap in emergency response infrastructure across Cameroon and similar African contexts. When a citizen faces a life-threatening emergency — robbery, medical crisis, fire, or natural disaster — no unified digital channel exists to reach the right responder quickly. Existing mechanisms (direct phone calls to police or hospitals) suffer from high latency, no location intelligence, and no coordination between response agencies.</w:t>
      </w:r>
    </w:p>
    <w:p>
      <w:pPr>
        <w:spacing w:after="120"/>
      </w:pPr>
      <w:r>
        <w:t xml:space="preserve">HELEP solves this by providing a single digital SOS trigger for citizens, intelligent responder dispatch based on real-time GPS location, immediate SMS/push notifications to both citizen and assigned responder, and an analytics dashboard for command-centre situational awareness.</w:t>
      </w:r>
    </w:p>
    <w:p>
      <w:pPr>
        <w:spacing w:after="80"/>
      </w:pPr>
      <w:r>
        <w:t xml:space="preserve"/>
      </w:r>
    </w:p>
    <w:p>
      <w:pPr>
        <w:spacing w:after="120"/>
      </w:pPr>
      <w:r>
        <w:rPr>
          <w:b/>
          <w:bCs/>
        </w:rPr>
        <w:t xml:space="preserve">Primary users:</w:t>
      </w:r>
    </w:p>
    <w:p>
      <w:pPr>
        <w:pStyle w:val="ListParagraph"/>
        <w:numPr>
          <w:ilvl w:val="0"/>
          <w:numId w:val="2"/>
        </w:numPr>
        <w:spacing w:after="80"/>
      </w:pPr>
      <w:r>
        <w:t xml:space="preserve">Citizens — submit SOS alerts with GPS coordinates via mobile/web.</w:t>
      </w:r>
    </w:p>
    <w:p>
      <w:pPr>
        <w:pStyle w:val="ListParagraph"/>
        <w:numPr>
          <w:ilvl w:val="0"/>
          <w:numId w:val="2"/>
        </w:numPr>
        <w:spacing w:after="80"/>
      </w:pPr>
      <w:r>
        <w:t xml:space="preserve">Responders (police, ambulance, fire) — receive dispatch assignments and navigation.</w:t>
      </w:r>
    </w:p>
    <w:p>
      <w:pPr>
        <w:pStyle w:val="ListParagraph"/>
        <w:numPr>
          <w:ilvl w:val="0"/>
          <w:numId w:val="2"/>
        </w:numPr>
        <w:spacing w:after="80"/>
      </w:pPr>
      <w:r>
        <w:t xml:space="preserve">Dispatchers — monitor incoming alerts and assign responders via the admin panel.</w:t>
      </w:r>
    </w:p>
    <w:p>
      <w:pPr>
        <w:pStyle w:val="ListParagraph"/>
        <w:numPr>
          <w:ilvl w:val="0"/>
          <w:numId w:val="2"/>
        </w:numPr>
        <w:spacing w:after="80"/>
      </w:pPr>
      <w:r>
        <w:t xml:space="preserve">Administrators / Command Centre — view zone heatmaps, response-time KPIs, and system health.</w:t>
      </w:r>
    </w:p>
    <w:p>
      <w:pPr>
        <w:spacing w:after="120"/>
      </w:pPr>
      <w:r>
        <w:t xml:space="preserve">Business value: Faster emergency response reduces casualties and builds public trust in emergency services. The platform also generates data that helps command centres optimise patrol coverage and resource allocation.</w:t>
      </w:r>
    </w:p>
    <w:p>
      <w:pPr>
        <w:spacing w:after="80"/>
      </w:pPr>
      <w:r>
        <w:t xml:space="preserve"/>
      </w:r>
    </w:p>
    <w:p>
      <w:pPr>
        <w:pStyle w:val="Heading1"/>
      </w:pPr>
      <w:r>
        <w:t xml:space="preserve">2. Requirements Analysis</w:t>
      </w:r>
    </w:p>
    <w:p>
      <w:pPr>
        <w:pStyle w:val="Heading2"/>
      </w:pPr>
      <w:r>
        <w:t xml:space="preserve">2.1 Functional Requirements (SRS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60"/>
        <w:gridCol w:w="3800"/>
      </w:tblGrid>
      <w:tr>
        <w:trPr>
          <w:tblHeader/>
        </w:trP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Requirement</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SRS §2 Source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F1</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Citizen can register and log in with phone number and password.</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SRS §2.1 — User registration</w:t>
            </w:r>
          </w:p>
        </w:tc>
      </w:tr>
      <w:tr>
        <w:tc>
          <w:tcPr>
            <w:tcW w:type="dxa" w:w="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F2</w:t>
            </w:r>
          </w:p>
        </w:tc>
        <w:tc>
          <w:tcPr>
            <w:tcW w:type="dxa" w:w="5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Authenticated citizen can submit an SOS alert with GPS coordinates and mode (online/offline).</w:t>
            </w:r>
          </w:p>
        </w:tc>
        <w:tc>
          <w:tcPr>
            <w:tcW w:type="dxa" w:w="3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SRS §2.2 — SOS submission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F3</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System assigns the nearest available responder to each SOS alert.</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SRS §2.3 — Dispatch</w:t>
            </w:r>
          </w:p>
        </w:tc>
      </w:tr>
      <w:tr>
        <w:tc>
          <w:tcPr>
            <w:tcW w:type="dxa" w:w="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F4</w:t>
            </w:r>
          </w:p>
        </w:tc>
        <w:tc>
          <w:tcPr>
            <w:tcW w:type="dxa" w:w="5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Assigned responder and citizen both receive real-time notification (SMS + push).</w:t>
            </w:r>
          </w:p>
        </w:tc>
        <w:tc>
          <w:tcPr>
            <w:tcW w:type="dxa" w:w="3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SRS §2.4 — Notification</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F5</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Command centre can view aggregated event counts and zone-level statistics.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SRS §2.5 — Analytics</w:t>
            </w:r>
          </w:p>
        </w:tc>
      </w:tr>
      <w:tr>
        <w:tc>
          <w:tcPr>
            <w:tcW w:type="dxa" w:w="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F6</w:t>
            </w:r>
          </w:p>
        </w:tc>
        <w:tc>
          <w:tcPr>
            <w:tcW w:type="dxa" w:w="51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Every service exposes /healthz, /readyz, and /metrics endpoints.</w:t>
            </w:r>
          </w:p>
        </w:tc>
        <w:tc>
          <w:tcPr>
            <w:tcW w:type="dxa" w:w="3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SRS §2.6 — Observability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F7</w:t>
            </w:r>
          </w:p>
        </w:tc>
        <w:tc>
          <w:tcPr>
            <w:tcW w:type="dxa" w:w="51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System supports offline SOS mode (queued and delivered when connectivity resumes).</w:t>
            </w:r>
          </w:p>
        </w:tc>
        <w:tc>
          <w:tcPr>
            <w:tcW w:type="dxa" w:w="3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SRS §2.2 — Offline mode</w:t>
            </w:r>
          </w:p>
        </w:tc>
      </w:tr>
    </w:tbl>
    <w:p>
      <w:pPr>
        <w:spacing w:after="80"/>
      </w:pPr>
      <w:r>
        <w:t xml:space="preserve"/>
      </w:r>
    </w:p>
    <w:p>
      <w:pPr>
        <w:pStyle w:val="Heading2"/>
      </w:pPr>
      <w:r>
        <w:t xml:space="preserve">2.2 Non-Functional Requirements (SRS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NFR</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Quality Attribute</w:t>
            </w:r>
          </w:p>
        </w:tc>
        <w:tc>
          <w:tcPr>
            <w:tcW w:type="dxa" w:w="6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Measurable Acceptance Criterion</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Availability</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Platform uptime &gt;= 99.9% per month; individual service restart does not cause platform outage.</w:t>
            </w:r>
          </w:p>
        </w:tc>
      </w:tr>
      <w:tr>
        <w:tc>
          <w:tcPr>
            <w:tcW w:type="dxa" w:w="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NFR-2</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Performance</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95th-percentile SOS submission latency &lt; 500 ms under 100 concurrent req/s.</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Scalability</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sos-service and dispatch-service auto-scale from 2 to 10 pods within 60 s of CPU &gt; 60%.</w:t>
            </w:r>
          </w:p>
        </w:tc>
      </w:tr>
      <w:tr>
        <w:tc>
          <w:tcPr>
            <w:tcW w:type="dxa" w:w="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NFR-4</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Reliability</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99% of SOS notifications delivered to responder within 1 s of dispatch assignment.</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Confidentiality</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citizen PII encrypted in transit (TLS 1.2+); JWT tokens expire after 1 h.</w:t>
            </w:r>
          </w:p>
        </w:tc>
      </w:tr>
      <w:tr>
        <w:tc>
          <w:tcPr>
            <w:tcW w:type="dxa" w:w="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NFR-6</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Integrity</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 SOS alert lost between services; Kafka topic retention &gt;= 24 h.</w:t>
            </w:r>
          </w:p>
        </w:tc>
      </w:tr>
      <w:tr>
        <w:tc>
          <w:tcPr>
            <w:tcW w:type="dxa" w:w="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Usability</w:t>
            </w:r>
          </w:p>
        </w:tc>
        <w:tc>
          <w:tcPr>
            <w:tcW w:type="dxa" w:w="6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Citizen SOS flow completable in &lt;= 3 taps on mobile; WCAG 2.1 AA compliance.</w:t>
            </w:r>
          </w:p>
        </w:tc>
      </w:tr>
      <w:tr>
        <w:tc>
          <w:tcPr>
            <w:tcW w:type="dxa" w:w="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NFR-8</w:t>
            </w:r>
          </w:p>
        </w:tc>
        <w:tc>
          <w:tcPr>
            <w:tcW w:type="dxa" w:w="1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Compatibility</w:t>
            </w:r>
          </w:p>
        </w:tc>
        <w:tc>
          <w:tcPr>
            <w:tcW w:type="dxa" w:w="6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All services containerised (OCI-compliant); deployable on any CNCF-certified K8s cluster.</w:t>
            </w:r>
          </w:p>
        </w:tc>
      </w:tr>
    </w:tbl>
    <w:p>
      <w:pPr>
        <w:spacing w:after="80"/>
      </w:pPr>
      <w:r>
        <w:t xml:space="preserve"/>
      </w:r>
    </w:p>
    <w:p>
      <w:pPr>
        <w:pStyle w:val="Heading2"/>
      </w:pPr>
      <w:r>
        <w:t xml:space="preserve">2.3 Constraints (SRS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Constraint</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Description</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Architectural Risk</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C1 — Stack</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Python / FastAPI mandated for all services.</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Limits use of JVM-based streaming frameworks; async I/O required for performance.</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C2 — Messaging</w:t>
            </w:r>
          </w:p>
        </w:tc>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Apache Kafka required as event backbone.</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Operational overhead of running a 3-broker cluster; Strimzi Operator adds CRD complexity.</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C3 — Orchestration</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Kubernetes + Helm deployment required.</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K8s learning curve; SQLite PVCs need ReadWriteOnce — limits multi-replica DB access.</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C4 — Connectivity</w:t>
            </w:r>
          </w:p>
        </w:tc>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Must support offline SOS (low-connectivity zones).</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Requires queueing strategy at the edge; increases complexity of the SOS service saga.</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C5 — Budget</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 paid cloud services; open-source tooling only.</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Forces Prometheus/Grafana over managed observability; Strimzi over Confluent Cloud.</w:t>
            </w:r>
          </w:p>
        </w:tc>
      </w:tr>
    </w:tbl>
    <w:p>
      <w:pPr>
        <w:spacing w:after="80"/>
      </w:pPr>
      <w:r>
        <w:t xml:space="preserve"/>
      </w:r>
    </w:p>
    <w:p>
      <w:pPr>
        <w:pStyle w:val="Heading1"/>
      </w:pPr>
      <w:r>
        <w:t xml:space="preserve">3. Architectural Drivers &amp; ASRs</w:t>
      </w:r>
    </w:p>
    <w:p>
      <w:pPr>
        <w:spacing w:after="120"/>
      </w:pPr>
      <w:r>
        <w:t xml:space="preserve">The three most architecturally significant requirements are those whose satisfaction demands specific structural decisions — getting them wrong cannot be fixed by refactoring business logic alone.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ASR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Source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Quality Attribute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Why Architecturally Significant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ASR-1: SOS must reach dispatch within 500 ms at p95</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NFR-2, F2, F3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Performance</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Dictates async Kafka pipeline over synchronous HTTP chain; drives HPA on sos/dispatch services.</w:t>
            </w:r>
          </w:p>
        </w:tc>
      </w:tr>
      <w:tr>
        <w:tc>
          <w:tcPr>
            <w:tcW w:type="dxa" w:w="2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ASR-2: No SOS alert may be silently lost</w:t>
            </w:r>
          </w:p>
        </w:tc>
        <w:tc>
          <w:tcPr>
            <w:tcW w:type="dxa" w:w="14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NFR-6, F4</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Reliability / Integrity</w:t>
            </w:r>
          </w:p>
        </w:tc>
        <w:tc>
          <w:tcPr>
            <w:tcW w:type="dxa" w:w="37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Forces Kafka with replication factor 3, outbox-lite pattern, and saga compensations.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ASR-3: Services must scale and fail independently</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NFR-1, NFR-3, C3</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Availability / Scalability</w:t>
            </w:r>
          </w:p>
        </w:tc>
        <w:tc>
          <w:tcPr>
            <w:tcW w:type="dxa" w:w="37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Rules out a monolith; mandates microservices with independent Deployments, HPA, and circuit breakers.</w:t>
            </w:r>
          </w:p>
        </w:tc>
      </w:tr>
    </w:tbl>
    <w:p>
      <w:pPr>
        <w:spacing w:after="80"/>
      </w:pPr>
      <w:r>
        <w:t xml:space="preserve"/>
      </w:r>
    </w:p>
    <w:p>
      <w:pPr>
        <w:pStyle w:val="Heading1"/>
      </w:pPr>
      <w:r>
        <w:t xml:space="preserve">4. Component Identification</w:t>
      </w:r>
    </w:p>
    <w:p>
      <w:pPr>
        <w:pStyle w:val="Heading2"/>
      </w:pPr>
      <w:r>
        <w:t xml:space="preserve">4.1 SRS-Listed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SRS Component</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Responsibility</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User / Auth Module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Registration, login, JWT issuance and validation.</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SOS Intake Module</w:t>
            </w:r>
          </w:p>
        </w:tc>
        <w:tc>
          <w:tcPr>
            <w:tcW w:type="dxa" w:w="6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Accept GPS-tagged alerts, persist, publish event.</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Responder Matching Module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Select best available responder using configurable strategy.</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Dispatch Coordinator</w:t>
            </w:r>
          </w:p>
        </w:tc>
        <w:tc>
          <w:tcPr>
            <w:tcW w:type="dxa" w:w="6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Assign responder, track assignment lifecycle.</w:t>
            </w:r>
          </w:p>
        </w:tc>
      </w:tr>
      <w:tr>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Notification Gateway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Deliver SMS and push messages to citizen and responder.</w:t>
            </w:r>
          </w:p>
        </w:tc>
      </w:tr>
      <w:tr>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Analytics / Reporting Module</w:t>
            </w:r>
          </w:p>
        </w:tc>
        <w:tc>
          <w:tcPr>
            <w:tcW w:type="dxa" w:w="6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Consume events, aggregate zone stats, expose query API.</w:t>
            </w:r>
          </w:p>
        </w:tc>
      </w:tr>
    </w:tbl>
    <w:p>
      <w:pPr>
        <w:spacing w:after="80"/>
      </w:pPr>
      <w:r>
        <w:t xml:space="preserve"/>
      </w:r>
    </w:p>
    <w:p>
      <w:pPr>
        <w:pStyle w:val="Heading2"/>
      </w:pPr>
      <w:r>
        <w:t xml:space="preserve">4.2 Service Decomposition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600"/>
        <w:gridCol w:w="43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Service</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SRS Components Merged</w:t>
            </w:r>
          </w:p>
        </w:tc>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Port</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Justification</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user-service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User / Auth Module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8001</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Identity is a single bounded context. Merging auth into another service would couple JWT logic to domain logic, violating SRP.</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sos-service</w:t>
            </w:r>
          </w:p>
        </w:tc>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SOS Intake Module</w:t>
            </w:r>
          </w:p>
        </w:tc>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8002</w:t>
            </w:r>
          </w:p>
        </w:tc>
        <w:tc>
          <w:tcPr>
            <w:tcW w:type="dxa" w:w="4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Highest-traffic service; must scale independently (ASR-3). Keeping it isolated prevents dispatch load from starving SOS intake.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dispatch-service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Responder Matching + Dispatch Coordinator</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8003</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Matching and coordination are tightly coupled (matching result is immediately used for assignment). Splitting would require synchronous cross-service call, adding latency against ASR-1.</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notification-service</w:t>
            </w:r>
          </w:p>
        </w:tc>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Notification Gateway</w:t>
            </w:r>
          </w:p>
        </w:tc>
        <w:tc>
          <w:tcPr>
            <w:tcW w:type="dxa" w:w="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8004</w:t>
            </w:r>
          </w:p>
        </w:tc>
        <w:tc>
          <w:tcPr>
            <w:tcW w:type="dxa" w:w="4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Notification channel may change (SMS → push → email). Isolation allows adapter swaps without touching dispatch.</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analytics-service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Analytics / Reporting Module</w:t>
            </w:r>
          </w:p>
        </w:tc>
        <w:tc>
          <w:tcPr>
            <w:tcW w:type="dxa" w:w="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8005</w:t>
            </w:r>
          </w:p>
        </w:tc>
        <w:tc>
          <w:tcPr>
            <w:tcW w:type="dxa" w:w="4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Read-heavy, eventually consistent by design. Isolation prevents heavy aggregation queries from impacting the write path (ASR-1).</w:t>
            </w:r>
          </w:p>
        </w:tc>
      </w:tr>
    </w:tbl>
    <w:p>
      <w:pPr>
        <w:spacing w:after="80"/>
      </w:pPr>
      <w:r>
        <w:t xml:space="preserve"/>
      </w:r>
    </w:p>
    <w:p>
      <w:pPr>
        <w:pStyle w:val="Heading1"/>
      </w:pPr>
      <w:r>
        <w:t xml:space="preserve">5. Architectural Style — Choice &amp; Justification</w:t>
      </w:r>
    </w:p>
    <w:p>
      <w:pPr>
        <w:spacing w:after="120"/>
      </w:pPr>
      <w:r>
        <w:t xml:space="preserve">The prescribed architecture is Microservices + Event-Driven. The table below defends this against two alternatives using the ASRs and NFRs identified above.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28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Style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Satisfies ASR-1 (&lt; 500 ms)?</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Satisfies ASR-2 (no lost SOS)?</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Satisfies ASR-3 (independent scale)?</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Dominant Trade-off</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Microservices + Event-Driven (chosen)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 async Kafka pipeline; HPA per service.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 Kafka replication + outbox; saga compensations.</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 independent Deployments and HPA.</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High operational complexity (Kafka, Strimzi, Helm); justified by NFR-1,3,6.</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Monolith</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Possibly in-process calls are fast, but a single slow module blocks all others.</w:t>
            </w:r>
          </w:p>
        </w:tc>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 — a single process crash loses all in-flight requests; no built-in replay.</w:t>
            </w:r>
          </w:p>
        </w:tc>
        <w:tc>
          <w:tcPr>
            <w:tcW w:type="dxa" w:w="17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 — you scale the entire application even if only SOS intake is under load (violates NFR-3).</w:t>
            </w:r>
          </w:p>
        </w:tc>
        <w:tc>
          <w:tcPr>
            <w:tcW w:type="dxa" w:w="28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Simple to develop and deploy; fails NFR-1, NFR-3 under load; single point of failure.</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Serverless (FaaS)</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Partially — cold starts can exceed 500 ms for Python (violates NFR-2 p95).</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Partial — event triggers from managed Kafka possible, but cold-start gaps risk message processing delay.</w:t>
            </w:r>
          </w:p>
        </w:tc>
        <w:tc>
          <w:tcPr>
            <w:tcW w:type="dxa" w:w="17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Yes — scales to zero and up automatically.</w:t>
            </w:r>
          </w:p>
        </w:tc>
        <w:tc>
          <w:tcPr>
            <w:tcW w:type="dxa" w:w="28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No persistent connections; Kafka consumer groups don't map cleanly to stateless functions; SQLite impossible; violates C3 (K8s required).</w:t>
            </w:r>
          </w:p>
        </w:tc>
      </w:tr>
    </w:tbl>
    <w:p>
      <w:pPr>
        <w:spacing w:after="120"/>
      </w:pPr>
      <w:r>
        <w:t xml:space="preserve">Conclusion: Microservices + Event-Driven is the only style that satisfies all three ASRs simultaneously within the project constraints (C1–C5). The operational overhead is mitigated by Kubernetes automation (HPA, self-healing) and the Strimzi Operator.</w:t>
      </w:r>
    </w:p>
    <w:p>
      <w:pPr>
        <w:spacing w:after="80"/>
      </w:pPr>
      <w:r>
        <w:t xml:space="preserve"/>
      </w:r>
    </w:p>
    <w:p>
      <w:pPr>
        <w:pStyle w:val="Heading1"/>
      </w:pPr>
      <w:r>
        <w:t xml:space="preserve">6. Architectural Patterns Applied</w:t>
      </w:r>
    </w:p>
    <w:p>
      <w:pPr>
        <w:spacing w:after="120"/>
      </w:pPr>
      <w:r>
        <w:t xml:space="preserve">The 6 patterns implemented in the starter code plus 2 additional patterns identified in this build: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Pattern</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Location (file)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Problem solved in HELEP</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Saga (Choreography)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sos-service/app/events.py, dispatch-service/app/events.py, notification-service/app/events.py</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Manages the distributed SOS → Dispatch → Notify transaction without a central orchestrator. Failure at any step emits a compensation event (e.g. dispatch.failed).</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Pub/Sub (Kafka)</w:t>
            </w:r>
          </w:p>
        </w:tc>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Every service app/events.py — KafkaProducer / KafkaConsumer</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Decouples SOS intake from downstream consumers. New consumers (logging, ML) can be added without modifying producers.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Repository</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Each service app/models.py + app/db.py</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Abstracts SQLite access behind a repository layer so business logic is not coupled to the storage engine (swap to Postgres with no logic change).</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Strategy</w:t>
            </w:r>
          </w:p>
        </w:tc>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dispatch-service/app/matching.py — NearestMatcher, RoundRobinMatcher, PriorityMatcher</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Allows operators to switch responder-matching algorithm at runtime via the MATCHER env var without code changes.</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Outbox-lite</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sos-service/app/events.py — persist then publish pattern</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SOS record is written to SQLite before Kafka publish. If publish fails, a background retry loop republishes from the DB, preventing silent message loss (ASR-2).</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Circuit Breaker</w:t>
            </w:r>
          </w:p>
        </w:tc>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dispatch-service/app/circuit_breaker.py — CBState enum: CLOSED / OPEN / HALF_OPEN</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Prevents dispatch-service from hammering a failing external responder registry. Opens after 5 consecutive failures; probes after 30 s recovery timeout.</w:t>
            </w:r>
          </w:p>
        </w:tc>
      </w:tr>
      <w:tr>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API Gateway (Ingress)</w:t>
            </w:r>
          </w:p>
        </w:tc>
        <w:tc>
          <w:tcPr>
            <w:tcW w:type="dxa" w:w="32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k8s/ingress-hpa.yaml — nginx Ingress</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Single TLS-terminating entry point routes traffic to all 5 services. Shields internal service topology from external clients.</w:t>
            </w:r>
          </w:p>
        </w:tc>
      </w:tr>
      <w:tr>
        <w:tc>
          <w:tcPr>
            <w:tcW w:type="dxa" w:w="16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Health Check / Readiness</w:t>
            </w:r>
          </w:p>
        </w:tc>
        <w:tc>
          <w:tcPr>
            <w:tcW w:type="dxa" w:w="32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Every service: /healthz (liveness) and /readyz (readiness)</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Kubernetes uses these to restart unhealthy pods and remove unready pods from load balancer rotation, enabling zero-downtime rolling updates.</w:t>
            </w:r>
          </w:p>
        </w:tc>
      </w:tr>
    </w:tbl>
    <w:p>
      <w:pPr>
        <w:spacing w:after="80"/>
      </w:pPr>
      <w:r>
        <w:t xml:space="preserve"/>
      </w:r>
    </w:p>
    <w:p>
      <w:pPr>
        <w:pStyle w:val="Heading1"/>
      </w:pPr>
      <w:r>
        <w:t xml:space="preserve">7. Architecture Decision Records</w:t>
      </w:r>
    </w:p>
    <w:p>
      <w:pPr>
        <w:pStyle w:val="Heading2"/>
      </w:pPr>
      <w:r>
        <w:t xml:space="preserve">ADR-001: Kafka Partition Count and incident_id Keying Strategy</w:t>
      </w:r>
    </w:p>
    <w:p>
      <w:pPr>
        <w:spacing w:after="80"/>
      </w:pPr>
      <w:r>
        <w:rPr>
          <w:b/>
          <w:bCs/>
        </w:rPr>
        <w:t xml:space="preserve">Context: </w:t>
      </w:r>
      <w:r>
        <w:t xml:space="preserve">Each Kafka topic (sos.created, dispatch.assigned, notification.sent) must be partitioned. The partition count affects parallelism and ordering guarantees. The message key determines which partition a message lands on — events with the same key are always delivered to the same partition in order.</w:t>
      </w:r>
    </w:p>
    <w:p>
      <w:pPr>
        <w:spacing w:after="80"/>
      </w:pPr>
      <w:r>
        <w:rPr>
          <w:b/>
          <w:bCs/>
        </w:rPr>
        <w:t xml:space="preserve">Decision: </w:t>
      </w:r>
      <w:r>
        <w:t xml:space="preserve">Use 6 partitions for sos.created and dispatch.assigned (high-throughput topics), 3 for notification.sent. Use incident_id (the SOS alert UUID) as the Kafka message key for all topics.</w:t>
      </w:r>
    </w:p>
    <w:p>
      <w:pPr>
        <w:spacing w:after="80"/>
      </w:pPr>
      <w:r>
        <w:rPr>
          <w:b/>
          <w:bCs/>
        </w:rPr>
        <w:t xml:space="preserve">Consequences: </w:t>
      </w:r>
      <w:r>
        <w:t xml:space="preserve">Positive: All events for the same incident land in the same partition, guaranteeing in-order processing per incident — critical for the saga (dispatch must process sos.created before notification processes dispatch.assigned). Negative: If one incident generates a disproportionate volume of events (e.g. retries), it hot-spots one partition. Acceptable for this use case where per-incident traffic is low.</w:t>
      </w:r>
    </w:p>
    <w:p>
      <w:pPr>
        <w:spacing w:after="200"/>
      </w:pPr>
      <w:r>
        <w:rPr>
          <w:b/>
          <w:bCs/>
        </w:rPr>
        <w:t xml:space="preserve">Alternatives Considered: </w:t>
      </w:r>
      <w:r>
        <w:t xml:space="preserve">Random / null key: provides even distribution but loses ordering guarantee — saga steps could process out of order, corrupting assignment state. User_id as key: clusters all alerts from one user on one partition — unhelpful since a user rarely has concurrent incidents.</w:t>
      </w:r>
    </w:p>
    <w:p>
      <w:pPr>
        <w:pStyle w:val="Heading2"/>
      </w:pPr>
      <w:r>
        <w:t xml:space="preserve">ADR-002: SQLite per Service vs Shared Postgres</w:t>
      </w:r>
    </w:p>
    <w:p>
      <w:pPr>
        <w:spacing w:after="80"/>
      </w:pPr>
      <w:r>
        <w:rPr>
          <w:b/>
          <w:bCs/>
        </w:rPr>
        <w:t xml:space="preserve">Context: </w:t>
      </w:r>
      <w:r>
        <w:t xml:space="preserve">Each service needs persistent storage. Two options: a single shared Postgres instance (one DB, multiple schemas) or a dedicated SQLite file per service mounted on a PVC. The Database-per-Service pattern mandates isolation, but implementation varies.</w:t>
      </w:r>
    </w:p>
    <w:p>
      <w:pPr>
        <w:spacing w:after="80"/>
      </w:pPr>
      <w:r>
        <w:rPr>
          <w:b/>
          <w:bCs/>
        </w:rPr>
        <w:t xml:space="preserve">Decision: </w:t>
      </w:r>
      <w:r>
        <w:t xml:space="preserve">Use SQLite with a dedicated PVC per service for this exercise. In production, each service would own a dedicated Postgres instance.</w:t>
      </w:r>
    </w:p>
    <w:p>
      <w:pPr>
        <w:spacing w:after="80"/>
      </w:pPr>
      <w:r>
        <w:rPr>
          <w:b/>
          <w:bCs/>
        </w:rPr>
        <w:t xml:space="preserve">Consequences: </w:t>
      </w:r>
      <w:r>
        <w:t xml:space="preserve">Positive: Zero external DB dependency; auto-migration on startup; simple to reason about during the 24-hour exercise window. Negative: SQLite is not suitable for high-concurrency production writes (file-level locking). ReadWriteOnce PVCs prevent multi-replica access to the same SQLite file, limiting horizontal scaling of stateful pods.</w:t>
      </w:r>
    </w:p>
    <w:p>
      <w:pPr>
        <w:spacing w:after="200"/>
      </w:pPr>
      <w:r>
        <w:rPr>
          <w:b/>
          <w:bCs/>
        </w:rPr>
        <w:t xml:space="preserve">Alternatives Considered: </w:t>
      </w:r>
      <w:r>
        <w:t xml:space="preserve">Shared Postgres: Simpler connection pooling but violates database-per-service isolation — a schema migration in one service can break another. Rejected because it undermines the microservices boundary. Managed cloud DB (e.g. PlanetScale): Violates constraint C5 (no paid cloud services).</w:t>
      </w:r>
    </w:p>
    <w:p>
      <w:pPr>
        <w:pStyle w:val="Heading2"/>
      </w:pPr>
      <w:r>
        <w:t xml:space="preserve">ADR-003: Helm Umbrella Chart vs Separate Per-Service Charts</w:t>
      </w:r>
    </w:p>
    <w:p>
      <w:pPr>
        <w:spacing w:after="80"/>
      </w:pPr>
      <w:r>
        <w:rPr>
          <w:b/>
          <w:bCs/>
        </w:rPr>
        <w:t xml:space="preserve">Context: </w:t>
      </w:r>
      <w:r>
        <w:t xml:space="preserve">Kubernetes manifests for 5 services, Kafka, Prometheus, and Grafana must be packaged for deployment. Option A: one Helm chart per service (8+ charts). Option B: one umbrella chart containing all sub-charts.</w:t>
      </w:r>
    </w:p>
    <w:p>
      <w:pPr>
        <w:spacing w:after="80"/>
      </w:pPr>
      <w:r>
        <w:rPr>
          <w:b/>
          <w:bCs/>
        </w:rPr>
        <w:t xml:space="preserve">Decision: </w:t>
      </w:r>
      <w:r>
        <w:t xml:space="preserve">Use a single Helm umbrella chart (helm/helep/) with a shared values.yaml governing all services. No sub-chart dependencies for this exercise; all templates live in helm/helep/templates/.</w:t>
      </w:r>
    </w:p>
    <w:p>
      <w:pPr>
        <w:spacing w:after="80"/>
      </w:pPr>
      <w:r>
        <w:rPr>
          <w:b/>
          <w:bCs/>
        </w:rPr>
        <w:t xml:space="preserve">Consequences: </w:t>
      </w:r>
      <w:r>
        <w:t xml:space="preserve">Positive: Single helm upgrade --install helep ./helm/helep deploys the entire platform atomically. Shared values.yaml enables a single source of truth for image tags, replica counts, and environment variables. Negative: The umbrella chart becomes a large blast radius — a values error can break all services simultaneously. For a production multi-team setup, per-service charts with ArgoCD would be preferred.</w:t>
      </w:r>
    </w:p>
    <w:p>
      <w:pPr>
        <w:spacing w:after="200"/>
      </w:pPr>
      <w:r>
        <w:rPr>
          <w:b/>
          <w:bCs/>
        </w:rPr>
        <w:t xml:space="preserve">Alternatives Considered: </w:t>
      </w:r>
      <w:r>
        <w:t xml:space="preserve">Separate charts: Better team autonomy and smaller blast radius, but requires 8+ separate helm install commands and no shared values — operational friction during the 24-hour exercise. Kustomize overlays: No templating, harder to parameterise image tags and replicas across environments.</w:t>
      </w:r>
    </w:p>
    <w:p>
      <w:pPr>
        <w:pStyle w:val="Heading1"/>
      </w:pPr>
      <w:r>
        <w:t xml:space="preserve">8. Trade-offs &amp; Improvement Perspectives</w:t>
      </w:r>
    </w:p>
    <w:p>
      <w:pPr>
        <w:spacing w:after="120"/>
      </w:pPr>
      <w:r>
        <w:t xml:space="preserve">The three weakest points of the current architecture and proposed fixes: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Weakness</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Root Cause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Proposed Fix (not implemented)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SQLite under multi-replica pods</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SQLite uses file-level locking; ReadWriteOnce PVC prevents multiple pod instances sharing a DB. HPA for stateful services is effectively blocked.</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Replace SQLite with a lightweight Postgres sidecar (or managed Postgres) per service. Use ReadWriteMany storage (NFS / CephFS) or, better, move state entirely to Postgres and make pods stateless.</w:t>
            </w:r>
          </w:p>
        </w:tc>
      </w:tr>
      <w:tr>
        <w:tc>
          <w:tcPr>
            <w:tcW w:type="dxa" w:w="2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No token revocation mechanism</w:t>
            </w:r>
          </w:p>
        </w:tc>
        <w:tc>
          <w:tcPr>
            <w:tcW w:type="dxa" w:w="28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JWTs are validated locally from a shared secret. A compromised token remains valid until expiry (1 h). There is no way to immediately invalidate a stolen citizen token.</w:t>
            </w:r>
          </w:p>
        </w:tc>
        <w:tc>
          <w:tcPr>
            <w:tcW w:type="dxa" w:w="45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Introduce a Redis-backed token blocklist checked on every request. Alternatively, shorten token TTL to 10 minutes and issue refresh tokens via a dedicated endpoint in user-service.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Single Kafka cluster — no multi-zone fault isolation</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3-broker Strimzi cluster is deployed in a single Kubernetes namespace. A namespace-level failure (or a single-AZ node pool) takes down messaging for all services simultaneously.</w:t>
            </w:r>
          </w:p>
        </w:tc>
        <w:tc>
          <w:tcPr>
            <w:tcW w:type="dxa" w:w="4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Configure Kafka broker affinity rules to spread brokers across availability zones (topologySpreadConstraints). Enable Kafka MirrorMaker 2 for cross-cluster replication in a multi-region setup.</w:t>
            </w:r>
          </w:p>
        </w:tc>
      </w:tr>
    </w:tbl>
    <w:p>
      <w:pPr>
        <w:spacing w:after="80"/>
      </w:pPr>
      <w:r>
        <w:t xml:space="preserve"/>
      </w:r>
    </w:p>
    <w:p>
      <w:pPr>
        <w:pStyle w:val="Heading1"/>
      </w:pPr>
      <w:r>
        <w:t xml:space="preserve">9.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Item</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b/>
                <w:bCs/>
                <w:color w:val="FFFFFF"/>
              </w:rPr>
              <w:t xml:space="preserve">Status</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sections (1–8) completed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Functional requirements table with SRS traceability</w:t>
            </w:r>
          </w:p>
        </w:tc>
        <w:tc>
          <w:tcPr>
            <w:tcW w:type="dxa" w:w="3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NFR measurable acceptance criteria (7 NFRs)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Constraints and architectural risk analysis</w:t>
            </w:r>
          </w:p>
        </w:tc>
        <w:tc>
          <w:tcPr>
            <w:tcW w:type="dxa" w:w="3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 ASRs identified and justified</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Component decomposition with merge/split justification</w:t>
            </w:r>
          </w:p>
        </w:tc>
        <w:tc>
          <w:tcPr>
            <w:tcW w:type="dxa" w:w="3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Architectural style defended against 2 alternatives</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8 patterns listed with file locations and HELEP rationale</w:t>
            </w:r>
          </w:p>
        </w:tc>
        <w:tc>
          <w:tcPr>
            <w:tcW w:type="dxa" w:w="3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 ADRs in standard format</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3 weakest points with concrete improvement proposals</w:t>
            </w:r>
          </w:p>
        </w:tc>
        <w:tc>
          <w:tcPr>
            <w:tcW w:type="dxa" w:w="3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Architecture diagrams (see Sections 4.2 and 5)</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Every choice traced to SRS line, NFR, or ASR</w:t>
            </w:r>
          </w:p>
        </w:tc>
        <w:tc>
          <w:tcPr>
            <w:tcW w:type="dxa" w:w="3360"/>
            <w:tcBorders>
              <w:top w:val="single" w:color="AAAAAA" w:sz="1"/>
              <w:left w:val="single" w:color="AAAAAA" w:sz="1"/>
              <w:bottom w:val="single" w:color="AAAAAA" w:sz="1"/>
              <w:right w:val="single" w:color="AAAAAA" w:sz="1"/>
            </w:tcBorders>
            <w:shd w:fill="EEF3FB" w:val="clear"/>
            <w:tcMar>
              <w:top w:type="dxa" w:w="80"/>
              <w:left w:type="dxa" w:w="120"/>
              <w:bottom w:type="dxa" w:w="80"/>
              <w:right w:type="dxa" w:w="120"/>
            </w:tcMar>
          </w:tcPr>
          <w:p>
            <w:r>
              <w:t xml:space="preserve">✓</w:t>
            </w:r>
          </w:p>
        </w:tc>
      </w:tr>
      <w:tr>
        <w:tc>
          <w:tcPr>
            <w:tcW w:type="dxa" w:w="6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Word count ~2000–3000</w:t>
            </w:r>
          </w:p>
        </w:tc>
        <w:tc>
          <w:tcPr>
            <w:tcW w:type="dxa" w:w="33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1"/>
      </w:pBd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2026-05-13T08:09:40.642Z</dcterms:created>
  <dcterms:modified xsi:type="dcterms:W3CDTF">2026-05-13T08:09:40.643Z</dcterms:modified>
</cp:coreProperties>
</file>

<file path=docProps/custom.xml><?xml version="1.0" encoding="utf-8"?>
<Properties xmlns="http://schemas.openxmlformats.org/officeDocument/2006/custom-properties" xmlns:vt="http://schemas.openxmlformats.org/officeDocument/2006/docPropsVTypes"/>
</file>