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keepNext/>
        <w:spacing w:before="0" w:after="280"/>
      </w:pPr>
      <w:r>
        <w:rPr>
          <w:rFonts w:ascii="Syne" w:hAnsi="Syne"/>
          <w:b/>
          <w:i w:val="0"/>
          <w:color w:val="9F3826"/>
          <w:sz w:val="18"/>
        </w:rPr>
        <w:t>A PRACTICAL PILOT BUILT AROUND MEASURABLE GROWTH</w:t>
      </w:r>
    </w:p>
    <w:p>
      <w:pPr>
        <w:spacing w:before="0" w:after="80"/>
        <w:jc w:val="left"/>
      </w:pPr>
      <w:r>
        <w:rPr>
          <w:rFonts w:ascii="Public Sans" w:hAnsi="Public Sans"/>
          <w:b/>
          <w:i w:val="0"/>
          <w:color w:val="111111"/>
          <w:sz w:val="56"/>
        </w:rPr>
        <w:t>A local customer engine for</w:t>
      </w:r>
    </w:p>
    <w:p>
      <w:pPr>
        <w:spacing w:after="240"/>
      </w:pPr>
      <w:r>
        <w:rPr>
          <w:rFonts w:ascii="Public Sans" w:hAnsi="Public Sans"/>
          <w:b/>
          <w:i/>
          <w:color w:val="9F3826"/>
          <w:sz w:val="56"/>
        </w:rPr>
        <w:t>True Diamond Finish.</w:t>
      </w:r>
    </w:p>
    <w:p>
      <w:pPr>
        <w:pStyle w:val="Subtitle"/>
        <w:spacing w:after="440"/>
      </w:pPr>
      <w:r>
        <w:rPr>
          <w:rFonts w:ascii="Public Sans" w:hAnsi="Public Sans"/>
          <w:b w:val="0"/>
          <w:i w:val="0"/>
          <w:color w:val="656565"/>
          <w:sz w:val="25"/>
        </w:rPr>
        <w:t>A 90-day pilot combining local Meta advertising, a conversion-focused landing page and one clear CRM pipeline.</w:t>
      </w:r>
    </w:p>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3120"/>
        <w:gridCol w:w="3120"/>
        <w:gridCol w:w="3120"/>
      </w:tblGrid>
      <w:tr>
        <w:tc>
          <w:tcPr>
            <w:tcW w:type="dxa" w:w="3120"/>
            <w:tcMar>
              <w:top w:w="170" w:type="dxa"/>
              <w:start w:w="160" w:type="dxa"/>
              <w:bottom w:w="170" w:type="dxa"/>
              <w:end w:w="160" w:type="dxa"/>
            </w:tcMar>
            <w:vAlign w:val="center"/>
            <w:shd w:fill="FFFFFF"/>
          </w:tcPr>
          <w:p>
            <w:pPr>
              <w:spacing w:after="60"/>
              <w:jc w:val="center"/>
            </w:pPr>
            <w:r>
              <w:rPr>
                <w:rFonts w:ascii="Syne" w:hAnsi="Syne"/>
                <w:b/>
                <w:i w:val="0"/>
                <w:color w:val="9F3826"/>
                <w:sz w:val="34"/>
              </w:rPr>
              <w:t>90 days</w:t>
            </w:r>
          </w:p>
          <w:p>
            <w:pPr>
              <w:spacing w:after="0"/>
              <w:jc w:val="center"/>
            </w:pPr>
            <w:r>
              <w:rPr>
                <w:rFonts w:ascii="Public Sans" w:hAnsi="Public Sans"/>
                <w:b/>
                <w:i w:val="0"/>
                <w:color w:val="656565"/>
                <w:sz w:val="17"/>
              </w:rPr>
              <w:t>PILOT PERIOD</w:t>
            </w:r>
          </w:p>
        </w:tc>
        <w:tc>
          <w:tcPr>
            <w:tcW w:type="dxa" w:w="3120"/>
            <w:tcMar>
              <w:top w:w="170" w:type="dxa"/>
              <w:start w:w="160" w:type="dxa"/>
              <w:bottom w:w="170" w:type="dxa"/>
              <w:end w:w="160" w:type="dxa"/>
            </w:tcMar>
            <w:vAlign w:val="center"/>
            <w:shd w:fill="F8F8F5"/>
          </w:tcPr>
          <w:p>
            <w:pPr>
              <w:spacing w:after="60"/>
              <w:jc w:val="center"/>
            </w:pPr>
            <w:r>
              <w:rPr>
                <w:rFonts w:ascii="Syne" w:hAnsi="Syne"/>
                <w:b/>
                <w:i w:val="0"/>
                <w:color w:val="9F3826"/>
                <w:sz w:val="34"/>
              </w:rPr>
              <w:t>$10/day</w:t>
            </w:r>
          </w:p>
          <w:p>
            <w:pPr>
              <w:spacing w:after="0"/>
              <w:jc w:val="center"/>
            </w:pPr>
            <w:r>
              <w:rPr>
                <w:rFonts w:ascii="Public Sans" w:hAnsi="Public Sans"/>
                <w:b/>
                <w:i w:val="0"/>
                <w:color w:val="656565"/>
                <w:sz w:val="17"/>
              </w:rPr>
              <w:t>STARTING AD BUDGET</w:t>
            </w:r>
          </w:p>
        </w:tc>
        <w:tc>
          <w:tcPr>
            <w:tcW w:type="dxa" w:w="3120"/>
            <w:tcMar>
              <w:top w:w="170" w:type="dxa"/>
              <w:start w:w="160" w:type="dxa"/>
              <w:bottom w:w="170" w:type="dxa"/>
              <w:end w:w="160" w:type="dxa"/>
            </w:tcMar>
            <w:vAlign w:val="center"/>
            <w:shd w:fill="FFFFFF"/>
          </w:tcPr>
          <w:p>
            <w:pPr>
              <w:spacing w:after="60"/>
              <w:jc w:val="center"/>
            </w:pPr>
            <w:r>
              <w:rPr>
                <w:rFonts w:ascii="Syne" w:hAnsi="Syne"/>
                <w:b/>
                <w:i w:val="0"/>
                <w:color w:val="9F3826"/>
                <w:sz w:val="34"/>
              </w:rPr>
              <w:t>$1,000</w:t>
            </w:r>
          </w:p>
          <w:p>
            <w:pPr>
              <w:spacing w:after="0"/>
              <w:jc w:val="center"/>
            </w:pPr>
            <w:r>
              <w:rPr>
                <w:rFonts w:ascii="Public Sans" w:hAnsi="Public Sans"/>
                <w:b/>
                <w:i w:val="0"/>
                <w:color w:val="656565"/>
                <w:sz w:val="17"/>
              </w:rPr>
              <w:t>COMBINED PILOT FEE</w:t>
            </w:r>
          </w:p>
        </w:tc>
      </w:tr>
    </w:tbl>
    <w:p>
      <w:pPr>
        <w:spacing w:after="20"/>
      </w:pPr>
    </w:p>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9360"/>
      </w:tblGrid>
      <w:tr>
        <w:tc>
          <w:tcPr>
            <w:tcW w:type="dxa" w:w="9360"/>
            <w:tcMar>
              <w:top w:w="180" w:type="dxa"/>
              <w:start w:w="220" w:type="dxa"/>
              <w:bottom w:w="180" w:type="dxa"/>
              <w:end w:w="220" w:type="dxa"/>
            </w:tcMar>
            <w:vAlign w:val="center"/>
            <w:shd w:fill="DCE9DD"/>
          </w:tcPr>
          <w:p>
            <w:pPr>
              <w:spacing w:after="100"/>
            </w:pPr>
            <w:r>
              <w:rPr>
                <w:rFonts w:ascii="Syne" w:hAnsi="Syne"/>
                <w:b/>
                <w:i w:val="0"/>
                <w:color w:val="9F3826"/>
                <w:sz w:val="17"/>
              </w:rPr>
              <w:t>THE PROMISE</w:t>
            </w:r>
          </w:p>
          <w:p>
            <w:pPr>
              <w:keepNext/>
              <w:spacing w:after="100"/>
            </w:pPr>
            <w:r>
              <w:rPr>
                <w:rFonts w:ascii="Public Sans" w:hAnsi="Public Sans"/>
                <w:b/>
                <w:i w:val="0"/>
                <w:color w:val="111111"/>
                <w:sz w:val="26"/>
              </w:rPr>
              <w:t>We bring the right local car owners to one simple next step.</w:t>
            </w:r>
          </w:p>
          <w:p>
            <w:pPr>
              <w:spacing w:after="0" w:line="288" w:lineRule="auto"/>
            </w:pPr>
            <w:r>
              <w:rPr>
                <w:rFonts w:ascii="Public Sans" w:hAnsi="Public Sans"/>
                <w:b w:val="0"/>
                <w:i w:val="0"/>
                <w:color w:val="656565"/>
                <w:sz w:val="20"/>
              </w:rPr>
              <w:t>They can book directly through Square or leave their details for fast follow-up. Every lead and every closed job is tracked, so the next decision is based on evidence—not promises.</w:t>
            </w:r>
          </w:p>
        </w:tc>
      </w:tr>
    </w:tbl>
    <w:p>
      <w:pPr>
        <w:spacing w:after="40"/>
      </w:pPr>
    </w:p>
    <w:p>
      <w:pPr>
        <w:spacing w:after="320"/>
      </w:pPr>
    </w:p>
    <w:tbl>
      <w:tblPr>
        <w:tblW w:type="dxa" w:w="9360"/>
        <w:tblLayout w:type="fixed"/>
        <w:tblLook w:firstColumn="1" w:firstRow="1" w:lastColumn="0" w:lastRow="0" w:noHBand="0" w:noVBand="1" w:val="04A0"/>
        <w:tblInd w:w="120" w:type="dxa"/>
        <w:tblBorders>
          <w:top w:val="single" w:sz="6" w:color="D9D9D3"/>
          <w:left w:val="single" w:sz="6" w:color="D9D9D3"/>
          <w:bottom w:val="single" w:sz="6" w:color="D9D9D3"/>
          <w:right w:val="single" w:sz="6" w:color="D9D9D3"/>
          <w:insideH w:val="single" w:sz="6" w:color="D9D9D3"/>
          <w:insideV w:val="single" w:sz="6" w:color="D9D9D3"/>
        </w:tblBorders>
      </w:tblPr>
      <w:tblGrid>
        <w:gridCol w:w="1900"/>
        <w:gridCol w:w="7460"/>
      </w:tblGrid>
      <w:tr>
        <w:tc>
          <w:tcPr>
            <w:tcW w:type="dxa" w:w="1900"/>
            <w:tcMar>
              <w:top w:w="120" w:type="dxa"/>
              <w:start w:w="150" w:type="dxa"/>
              <w:bottom w:w="120" w:type="dxa"/>
              <w:end w:w="150" w:type="dxa"/>
            </w:tcMar>
            <w:vAlign w:val="center"/>
            <w:shd w:fill="F8F8F5"/>
          </w:tcPr>
          <w:p>
            <w:pPr>
              <w:spacing w:after="0" w:line="269" w:lineRule="auto"/>
            </w:pPr>
            <w:r>
              <w:rPr>
                <w:rFonts w:ascii="Public Sans" w:hAnsi="Public Sans"/>
                <w:b/>
                <w:i w:val="0"/>
                <w:color w:val="7D2A1D"/>
                <w:sz w:val="18"/>
              </w:rPr>
              <w:t>Prepared for</w:t>
            </w:r>
          </w:p>
        </w:tc>
        <w:tc>
          <w:tcPr>
            <w:tcW w:type="dxa" w:w="74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True Diamond Finish (CelMaura Inc.)</w:t>
            </w:r>
          </w:p>
        </w:tc>
      </w:tr>
      <w:tr>
        <w:tc>
          <w:tcPr>
            <w:tcW w:type="dxa" w:w="1900"/>
            <w:tcMar>
              <w:top w:w="120" w:type="dxa"/>
              <w:start w:w="150" w:type="dxa"/>
              <w:bottom w:w="120" w:type="dxa"/>
              <w:end w:w="150" w:type="dxa"/>
            </w:tcMar>
            <w:vAlign w:val="center"/>
            <w:shd w:fill="F8F8F5"/>
          </w:tcPr>
          <w:p>
            <w:pPr>
              <w:spacing w:after="0" w:line="269" w:lineRule="auto"/>
            </w:pPr>
            <w:r>
              <w:rPr>
                <w:rFonts w:ascii="Public Sans" w:hAnsi="Public Sans"/>
                <w:b/>
                <w:i w:val="0"/>
                <w:color w:val="7D2A1D"/>
                <w:sz w:val="18"/>
              </w:rPr>
              <w:t>Prepared by</w:t>
            </w:r>
          </w:p>
        </w:tc>
        <w:tc>
          <w:tcPr>
            <w:tcW w:type="dxa" w:w="74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Autopilots &amp; Smartleads</w:t>
            </w:r>
          </w:p>
        </w:tc>
      </w:tr>
      <w:tr>
        <w:tc>
          <w:tcPr>
            <w:tcW w:type="dxa" w:w="1900"/>
            <w:tcMar>
              <w:top w:w="120" w:type="dxa"/>
              <w:start w:w="150" w:type="dxa"/>
              <w:bottom w:w="120" w:type="dxa"/>
              <w:end w:w="150" w:type="dxa"/>
            </w:tcMar>
            <w:vAlign w:val="center"/>
            <w:shd w:fill="F8F8F5"/>
          </w:tcPr>
          <w:p>
            <w:pPr>
              <w:spacing w:after="0" w:line="269" w:lineRule="auto"/>
            </w:pPr>
            <w:r>
              <w:rPr>
                <w:rFonts w:ascii="Public Sans" w:hAnsi="Public Sans"/>
                <w:b/>
                <w:i w:val="0"/>
                <w:color w:val="7D2A1D"/>
                <w:sz w:val="18"/>
              </w:rPr>
              <w:t>Date</w:t>
            </w:r>
          </w:p>
        </w:tc>
        <w:tc>
          <w:tcPr>
            <w:tcW w:type="dxa" w:w="74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July 30, 2026</w:t>
            </w:r>
          </w:p>
        </w:tc>
      </w:tr>
    </w:tbl>
    <w:p>
      <w:r>
        <w:br w:type="page"/>
      </w:r>
    </w:p>
    <w:p>
      <w:pPr>
        <w:pStyle w:val="Heading1"/>
      </w:pPr>
      <w:r>
        <w:t>1. Why this pilot</w:t>
      </w:r>
    </w:p>
    <w:p>
      <w:pPr>
        <w:spacing w:before="0" w:after="160" w:line="300" w:lineRule="auto"/>
        <w:jc w:val="left"/>
      </w:pPr>
      <w:r>
        <w:rPr>
          <w:rFonts w:ascii="Public Sans" w:hAnsi="Public Sans"/>
          <w:b w:val="0"/>
          <w:i w:val="0"/>
          <w:color w:val="111111"/>
          <w:sz w:val="21"/>
        </w:rPr>
        <w:t>True Diamond Finish already has the hardest ingredients: a strong mobile service, a large library of before-and-after results, real customer proof and a team that knows how to close. The missing piece is a predictable route from local attention to a booked appointment.</w:t>
      </w:r>
    </w:p>
    <w:p>
      <w:pPr>
        <w:spacing w:before="0" w:after="160" w:line="300" w:lineRule="auto"/>
        <w:jc w:val="left"/>
      </w:pPr>
      <w:r>
        <w:rPr>
          <w:rFonts w:ascii="Public Sans" w:hAnsi="Public Sans"/>
          <w:b w:val="0"/>
          <w:i w:val="0"/>
          <w:color w:val="111111"/>
          <w:sz w:val="21"/>
        </w:rPr>
        <w:t>Today, too much growth still depends on door-to-door work, manual follow-up and a broad website experience. The current website shows the full service range and already supports Square booking, but paid traffic needs a faster and more focused message: we come to you, we clean your car at your location, and booking takes only a few steps.</w:t>
      </w:r>
    </w:p>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9360"/>
      </w:tblGrid>
      <w:tr>
        <w:tc>
          <w:tcPr>
            <w:tcW w:type="dxa" w:w="9360"/>
            <w:tcMar>
              <w:top w:w="180" w:type="dxa"/>
              <w:start w:w="220" w:type="dxa"/>
              <w:bottom w:w="180" w:type="dxa"/>
              <w:end w:w="220" w:type="dxa"/>
            </w:tcMar>
            <w:vAlign w:val="center"/>
            <w:shd w:fill="F8F8F5"/>
          </w:tcPr>
          <w:p>
            <w:pPr>
              <w:spacing w:after="100"/>
            </w:pPr>
            <w:r>
              <w:rPr>
                <w:rFonts w:ascii="Syne" w:hAnsi="Syne"/>
                <w:b/>
                <w:i w:val="0"/>
                <w:color w:val="9F3826"/>
                <w:sz w:val="17"/>
              </w:rPr>
              <w:t>PILOT FOCUS</w:t>
            </w:r>
          </w:p>
          <w:p>
            <w:pPr>
              <w:keepNext/>
              <w:spacing w:after="100"/>
            </w:pPr>
            <w:r>
              <w:rPr>
                <w:rFonts w:ascii="Public Sans" w:hAnsi="Public Sans"/>
                <w:b/>
                <w:i w:val="0"/>
                <w:color w:val="111111"/>
                <w:sz w:val="26"/>
              </w:rPr>
              <w:t>One local offer. One focused page. One measurable pipeline.</w:t>
            </w:r>
          </w:p>
          <w:p>
            <w:pPr>
              <w:spacing w:after="0" w:line="288" w:lineRule="auto"/>
            </w:pPr>
            <w:r>
              <w:rPr>
                <w:rFonts w:ascii="Public Sans" w:hAnsi="Public Sans"/>
                <w:b w:val="0"/>
                <w:i w:val="0"/>
                <w:color w:val="656565"/>
                <w:sz w:val="20"/>
              </w:rPr>
              <w:t>The pilot is intentionally small. It is designed to learn which audience, creative and offer produce qualified appointments within a practical service radius.</w:t>
            </w:r>
          </w:p>
        </w:tc>
      </w:tr>
    </w:tbl>
    <w:p>
      <w:pPr>
        <w:spacing w:after="40"/>
      </w:pPr>
    </w:p>
    <w:p>
      <w:pPr>
        <w:pStyle w:val="Heading2"/>
      </w:pPr>
      <w:r>
        <w:t>The customer journey</w:t>
      </w:r>
    </w:p>
    <w:p>
      <w:pPr>
        <w:pStyle w:val="ListNumber"/>
        <w:keepLines/>
        <w:spacing w:after="120" w:line="283" w:lineRule="auto"/>
      </w:pPr>
      <w:r>
        <w:rPr>
          <w:rFonts w:ascii="Public Sans" w:hAnsi="Public Sans"/>
          <w:b/>
          <w:i w:val="0"/>
          <w:color w:val="111111"/>
          <w:sz w:val="20"/>
        </w:rPr>
        <w:t xml:space="preserve">See the ad — </w:t>
      </w:r>
      <w:r>
        <w:rPr>
          <w:rFonts w:ascii="Public Sans" w:hAnsi="Public Sans"/>
          <w:b w:val="0"/>
          <w:i w:val="0"/>
          <w:color w:val="111111"/>
          <w:sz w:val="20"/>
        </w:rPr>
        <w:t>A local car owner sees a clear before-and-after ad within the selected service area.</w:t>
      </w:r>
    </w:p>
    <w:p>
      <w:pPr>
        <w:pStyle w:val="ListNumber"/>
        <w:keepLines/>
        <w:spacing w:after="120" w:line="283" w:lineRule="auto"/>
      </w:pPr>
      <w:r>
        <w:rPr>
          <w:rFonts w:ascii="Public Sans" w:hAnsi="Public Sans"/>
          <w:b/>
          <w:i w:val="0"/>
          <w:color w:val="111111"/>
          <w:sz w:val="20"/>
        </w:rPr>
        <w:t xml:space="preserve">Choose a next step — </w:t>
      </w:r>
      <w:r>
        <w:rPr>
          <w:rFonts w:ascii="Public Sans" w:hAnsi="Public Sans"/>
          <w:b w:val="0"/>
          <w:i w:val="0"/>
          <w:color w:val="111111"/>
          <w:sz w:val="20"/>
        </w:rPr>
        <w:t>The landing page offers two routes: book directly in Square or leave contact details.</w:t>
      </w:r>
    </w:p>
    <w:p>
      <w:pPr>
        <w:pStyle w:val="ListNumber"/>
        <w:keepLines/>
        <w:spacing w:after="120" w:line="283" w:lineRule="auto"/>
      </w:pPr>
      <w:r>
        <w:rPr>
          <w:rFonts w:ascii="Public Sans" w:hAnsi="Public Sans"/>
          <w:b/>
          <w:i w:val="0"/>
          <w:color w:val="111111"/>
          <w:sz w:val="20"/>
        </w:rPr>
        <w:t xml:space="preserve">Get followed up — </w:t>
      </w:r>
      <w:r>
        <w:rPr>
          <w:rFonts w:ascii="Public Sans" w:hAnsi="Public Sans"/>
          <w:b w:val="0"/>
          <w:i w:val="0"/>
          <w:color w:val="111111"/>
          <w:sz w:val="20"/>
        </w:rPr>
        <w:t>New enquiries enter the CRM immediately and the True Diamond Finish team receives a clear action.</w:t>
      </w:r>
    </w:p>
    <w:p>
      <w:pPr>
        <w:pStyle w:val="ListNumber"/>
        <w:keepLines/>
        <w:spacing w:after="120" w:line="283" w:lineRule="auto"/>
      </w:pPr>
      <w:r>
        <w:rPr>
          <w:rFonts w:ascii="Public Sans" w:hAnsi="Public Sans"/>
          <w:b/>
          <w:i w:val="0"/>
          <w:color w:val="111111"/>
          <w:sz w:val="20"/>
        </w:rPr>
        <w:t xml:space="preserve">Track the outcome — </w:t>
      </w:r>
      <w:r>
        <w:rPr>
          <w:rFonts w:ascii="Public Sans" w:hAnsi="Public Sans"/>
          <w:b w:val="0"/>
          <w:i w:val="0"/>
          <w:color w:val="111111"/>
          <w:sz w:val="20"/>
        </w:rPr>
        <w:t>Each lead is moved through the pipeline until booked, won or lost—with the reason recorded.</w:t>
      </w:r>
    </w:p>
    <w:p>
      <w:pPr>
        <w:pStyle w:val="Heading2"/>
      </w:pPr>
      <w:r>
        <w:t>What success looks like</w:t>
      </w:r>
    </w:p>
    <w:p>
      <w:pPr>
        <w:pStyle w:val="ListBullet"/>
        <w:keepLines/>
        <w:spacing w:after="80" w:line="283" w:lineRule="auto"/>
      </w:pPr>
      <w:r>
        <w:rPr>
          <w:rFonts w:ascii="Public Sans" w:hAnsi="Public Sans"/>
          <w:b w:val="0"/>
          <w:i w:val="0"/>
          <w:color w:val="111111"/>
          <w:sz w:val="20"/>
        </w:rPr>
        <w:t>A consistent source of local enquiries that does not depend on door-to-door availability.</w:t>
      </w:r>
    </w:p>
    <w:p>
      <w:pPr>
        <w:pStyle w:val="ListBullet"/>
        <w:keepLines/>
        <w:spacing w:after="80" w:line="283" w:lineRule="auto"/>
      </w:pPr>
      <w:r>
        <w:rPr>
          <w:rFonts w:ascii="Public Sans" w:hAnsi="Public Sans"/>
          <w:b w:val="0"/>
          <w:i w:val="0"/>
          <w:color w:val="111111"/>
          <w:sz w:val="20"/>
        </w:rPr>
        <w:t>A landing page that leads with mobile convenience and local relevance.</w:t>
      </w:r>
    </w:p>
    <w:p>
      <w:pPr>
        <w:pStyle w:val="ListBullet"/>
        <w:keepLines/>
        <w:spacing w:after="80" w:line="283" w:lineRule="auto"/>
      </w:pPr>
      <w:r>
        <w:rPr>
          <w:rFonts w:ascii="Public Sans" w:hAnsi="Public Sans"/>
          <w:b w:val="0"/>
          <w:i w:val="0"/>
          <w:color w:val="111111"/>
          <w:sz w:val="20"/>
        </w:rPr>
        <w:t>A visible pipeline from new lead to booked appointment and closed job.</w:t>
      </w:r>
    </w:p>
    <w:p>
      <w:pPr>
        <w:pStyle w:val="ListBullet"/>
        <w:keepLines/>
        <w:spacing w:after="80" w:line="283" w:lineRule="auto"/>
      </w:pPr>
      <w:r>
        <w:rPr>
          <w:rFonts w:ascii="Public Sans" w:hAnsi="Public Sans"/>
          <w:b w:val="0"/>
          <w:i w:val="0"/>
          <w:color w:val="111111"/>
          <w:sz w:val="20"/>
        </w:rPr>
        <w:t>Enough clean data to decide whether to scale, adjust the offer or stop.</w:t>
      </w:r>
    </w:p>
    <w:p>
      <w:r>
        <w:br w:type="page"/>
      </w:r>
    </w:p>
    <w:p>
      <w:pPr>
        <w:pStyle w:val="Heading1"/>
      </w:pPr>
      <w:r>
        <w:t>2. What we will build and run</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1700"/>
        <w:gridCol w:w="1700"/>
        <w:gridCol w:w="5960"/>
      </w:tblGrid>
      <w:tr>
        <w:tc>
          <w:tcPr>
            <w:tcW w:type="dxa" w:w="17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Workstream</w:t>
            </w:r>
          </w:p>
        </w:tc>
        <w:tc>
          <w:tcPr>
            <w:tcW w:type="dxa" w:w="17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Owner</w:t>
            </w:r>
          </w:p>
        </w:tc>
        <w:tc>
          <w:tcPr>
            <w:tcW w:type="dxa" w:w="596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Included in the pilot</w:t>
            </w:r>
          </w:p>
        </w:tc>
      </w:tr>
      <w:tr>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Landing page</w:t>
            </w:r>
          </w:p>
        </w:tc>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Autopilots</w:t>
            </w:r>
          </w:p>
        </w:tc>
        <w:tc>
          <w:tcPr>
            <w:tcW w:type="dxa" w:w="59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Mobile-first page focused on “we come to you,” with local copy, proof, before/after content, direct Square booking and a lead form.</w:t>
            </w:r>
          </w:p>
        </w:tc>
      </w:tr>
      <w:tr>
        <w:tc>
          <w:tcPr>
            <w:tcW w:type="dxa" w:w="17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CRM &amp; pipeline</w:t>
            </w:r>
          </w:p>
        </w:tc>
        <w:tc>
          <w:tcPr>
            <w:tcW w:type="dxa" w:w="17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Autopilots</w:t>
            </w:r>
          </w:p>
        </w:tc>
        <w:tc>
          <w:tcPr>
            <w:tcW w:type="dxa" w:w="59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Lead capture, source tracking, pipeline stages, owner assignment, status updates and a simple pilot dashboard.</w:t>
            </w:r>
          </w:p>
        </w:tc>
      </w:tr>
      <w:tr>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Meta campaign</w:t>
            </w:r>
          </w:p>
        </w:tc>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Smartleads</w:t>
            </w:r>
          </w:p>
        </w:tc>
        <w:tc>
          <w:tcPr>
            <w:tcW w:type="dxa" w:w="59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Local campaign setup, max. ±20 km radius, audience setup, copy and creative variations, testing and optimization.</w:t>
            </w:r>
          </w:p>
        </w:tc>
      </w:tr>
      <w:tr>
        <w:tc>
          <w:tcPr>
            <w:tcW w:type="dxa" w:w="17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Creative input</w:t>
            </w:r>
          </w:p>
        </w:tc>
        <w:tc>
          <w:tcPr>
            <w:tcW w:type="dxa" w:w="17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True Diamond Finish</w:t>
            </w:r>
          </w:p>
        </w:tc>
        <w:tc>
          <w:tcPr>
            <w:tcW w:type="dxa" w:w="59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Best before/after photos, available videos, testimonials, service details, pricing and brand assets.</w:t>
            </w:r>
          </w:p>
        </w:tc>
      </w:tr>
      <w:tr>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Lead handling</w:t>
            </w:r>
          </w:p>
        </w:tc>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True Diamond Finish</w:t>
            </w:r>
          </w:p>
        </w:tc>
        <w:tc>
          <w:tcPr>
            <w:tcW w:type="dxa" w:w="59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Fast contact, qualification, appointment confirmation, pipeline updates and accurate closed-job values.</w:t>
            </w:r>
          </w:p>
        </w:tc>
      </w:tr>
    </w:tbl>
    <w:p>
      <w:pPr>
        <w:pStyle w:val="Heading2"/>
      </w:pPr>
      <w:r>
        <w:t>Landing-page message</w:t>
      </w:r>
    </w:p>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9360"/>
      </w:tblGrid>
      <w:tr>
        <w:tc>
          <w:tcPr>
            <w:tcW w:type="dxa" w:w="9360"/>
            <w:tcMar>
              <w:top w:w="180" w:type="dxa"/>
              <w:start w:w="220" w:type="dxa"/>
              <w:bottom w:w="180" w:type="dxa"/>
              <w:end w:w="220" w:type="dxa"/>
            </w:tcMar>
            <w:vAlign w:val="center"/>
            <w:shd w:fill="F8F8F5"/>
          </w:tcPr>
          <w:p>
            <w:pPr>
              <w:spacing w:after="100"/>
            </w:pPr>
            <w:r>
              <w:rPr>
                <w:rFonts w:ascii="Syne" w:hAnsi="Syne"/>
                <w:b/>
                <w:i w:val="0"/>
                <w:color w:val="9F3826"/>
                <w:sz w:val="17"/>
              </w:rPr>
              <w:t>RECOMMENDED HERO</w:t>
            </w:r>
          </w:p>
          <w:p>
            <w:pPr>
              <w:keepNext/>
              <w:spacing w:after="100"/>
            </w:pPr>
            <w:r>
              <w:rPr>
                <w:rFonts w:ascii="Public Sans" w:hAnsi="Public Sans"/>
                <w:b/>
                <w:i w:val="0"/>
                <w:color w:val="111111"/>
                <w:sz w:val="26"/>
              </w:rPr>
              <w:t>We come to you. Your car leaves looking like new.</w:t>
            </w:r>
          </w:p>
          <w:p>
            <w:pPr>
              <w:spacing w:after="0" w:line="288" w:lineRule="auto"/>
            </w:pPr>
            <w:r>
              <w:rPr>
                <w:rFonts w:ascii="Public Sans" w:hAnsi="Public Sans"/>
                <w:b w:val="0"/>
                <w:i w:val="0"/>
                <w:color w:val="656565"/>
                <w:sz w:val="20"/>
              </w:rPr>
              <w:t>Mobile detailing at your home or workplace in the selected local service area. Choose your service and book directly—or leave your details and we will help you find the right option.</w:t>
            </w:r>
          </w:p>
        </w:tc>
      </w:tr>
    </w:tbl>
    <w:p>
      <w:pPr>
        <w:spacing w:after="40"/>
      </w:pPr>
    </w:p>
    <w:p>
      <w:pPr>
        <w:pStyle w:val="ListBullet"/>
        <w:keepLines/>
        <w:spacing w:after="80" w:line="283" w:lineRule="auto"/>
      </w:pPr>
      <w:r>
        <w:rPr>
          <w:rFonts w:ascii="Public Sans" w:hAnsi="Public Sans"/>
          <w:b w:val="0"/>
          <w:i w:val="0"/>
          <w:color w:val="111111"/>
          <w:sz w:val="20"/>
        </w:rPr>
        <w:t>Primary action: Book your mobile detail.</w:t>
      </w:r>
    </w:p>
    <w:p>
      <w:pPr>
        <w:pStyle w:val="ListBullet"/>
        <w:keepLines/>
        <w:spacing w:after="80" w:line="283" w:lineRule="auto"/>
      </w:pPr>
      <w:r>
        <w:rPr>
          <w:rFonts w:ascii="Public Sans" w:hAnsi="Public Sans"/>
          <w:b w:val="0"/>
          <w:i w:val="0"/>
          <w:color w:val="111111"/>
          <w:sz w:val="20"/>
        </w:rPr>
        <w:t>Secondary action: Get help choosing a package.</w:t>
      </w:r>
    </w:p>
    <w:p>
      <w:pPr>
        <w:pStyle w:val="ListBullet"/>
        <w:keepLines/>
        <w:spacing w:after="80" w:line="283" w:lineRule="auto"/>
      </w:pPr>
      <w:r>
        <w:rPr>
          <w:rFonts w:ascii="Public Sans" w:hAnsi="Public Sans"/>
          <w:b w:val="0"/>
          <w:i w:val="0"/>
          <w:color w:val="111111"/>
          <w:sz w:val="20"/>
        </w:rPr>
        <w:t>Proof: real transformations, customer testimonials and the strongest three packages.</w:t>
      </w:r>
    </w:p>
    <w:p>
      <w:pPr>
        <w:pStyle w:val="ListBullet"/>
        <w:keepLines/>
        <w:spacing w:after="80" w:line="283" w:lineRule="auto"/>
      </w:pPr>
      <w:r>
        <w:rPr>
          <w:rFonts w:ascii="Public Sans" w:hAnsi="Public Sans"/>
          <w:b w:val="0"/>
          <w:i w:val="0"/>
          <w:color w:val="111111"/>
          <w:sz w:val="20"/>
        </w:rPr>
        <w:t>Trust: clear service radius, response expectation, phone number and Square booking.</w:t>
      </w:r>
    </w:p>
    <w:p>
      <w:pPr>
        <w:pStyle w:val="Heading2"/>
      </w:pPr>
      <w:r>
        <w:t>CRM pipeline</w:t>
      </w:r>
    </w:p>
    <w:p>
      <w:pPr>
        <w:spacing w:before="0" w:after="160" w:line="300" w:lineRule="auto"/>
        <w:jc w:val="left"/>
      </w:pPr>
      <w:r>
        <w:rPr>
          <w:rFonts w:ascii="Public Sans" w:hAnsi="Public Sans"/>
          <w:b w:val="0"/>
          <w:i w:val="0"/>
          <w:color w:val="111111"/>
          <w:sz w:val="21"/>
        </w:rPr>
        <w:t>New lead → Contact attempted → Qualified → Appointment booked → Service completed → Won / Lost</w:t>
      </w:r>
    </w:p>
    <w:p>
      <w:pPr>
        <w:spacing w:before="0" w:after="160" w:line="300" w:lineRule="auto"/>
        <w:jc w:val="left"/>
      </w:pPr>
      <w:r>
        <w:rPr>
          <w:rFonts w:ascii="Public Sans" w:hAnsi="Public Sans"/>
          <w:b w:val="0"/>
          <w:i w:val="0"/>
          <w:color w:val="111111"/>
          <w:sz w:val="21"/>
        </w:rPr>
        <w:t>Each record should include campaign, ad, service interest, booking status, estimated value, actual sale value and lost reason. This creates the evidence needed for the post-pilot pricing model.</w:t>
      </w:r>
    </w:p>
    <w:p>
      <w:r>
        <w:br w:type="page"/>
      </w:r>
    </w:p>
    <w:p>
      <w:pPr>
        <w:pStyle w:val="Heading1"/>
      </w:pPr>
      <w:r>
        <w:t>3. Pilot investment and commercial terms</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3300"/>
        <w:gridCol w:w="1600"/>
        <w:gridCol w:w="2560"/>
        <w:gridCol w:w="1900"/>
      </w:tblGrid>
      <w:tr>
        <w:tc>
          <w:tcPr>
            <w:tcW w:type="dxa" w:w="33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Item</w:t>
            </w:r>
          </w:p>
        </w:tc>
        <w:tc>
          <w:tcPr>
            <w:tcW w:type="dxa" w:w="16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Amount</w:t>
            </w:r>
          </w:p>
        </w:tc>
        <w:tc>
          <w:tcPr>
            <w:tcW w:type="dxa" w:w="256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Timing</w:t>
            </w:r>
          </w:p>
        </w:tc>
        <w:tc>
          <w:tcPr>
            <w:tcW w:type="dxa" w:w="19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Paid to</w:t>
            </w:r>
          </w:p>
        </w:tc>
      </w:tr>
      <w:tr>
        <w:tc>
          <w:tcPr>
            <w:tcW w:type="dxa" w:w="33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Pilot fee — first instalment</w:t>
            </w:r>
          </w:p>
        </w:tc>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$500</w:t>
            </w:r>
          </w:p>
        </w:tc>
        <w:tc>
          <w:tcPr>
            <w:tcW w:type="dxa" w:w="2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At approval</w:t>
            </w:r>
          </w:p>
        </w:tc>
        <w:tc>
          <w:tcPr>
            <w:tcW w:type="dxa" w:w="19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Autopilots &amp; Smartleads</w:t>
            </w:r>
          </w:p>
        </w:tc>
      </w:tr>
      <w:tr>
        <w:tc>
          <w:tcPr>
            <w:tcW w:type="dxa" w:w="33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Pilot fee — final instalment</w:t>
            </w:r>
          </w:p>
        </w:tc>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$500</w:t>
            </w:r>
          </w:p>
        </w:tc>
        <w:tc>
          <w:tcPr>
            <w:tcW w:type="dxa" w:w="2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At the end of month 3</w:t>
            </w:r>
          </w:p>
        </w:tc>
        <w:tc>
          <w:tcPr>
            <w:tcW w:type="dxa" w:w="19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Autopilots &amp; Smartleads</w:t>
            </w:r>
          </w:p>
        </w:tc>
      </w:tr>
      <w:tr>
        <w:tc>
          <w:tcPr>
            <w:tcW w:type="dxa" w:w="33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Meta media budget</w:t>
            </w:r>
          </w:p>
        </w:tc>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Approx. $10/day</w:t>
            </w:r>
          </w:p>
        </w:tc>
        <w:tc>
          <w:tcPr>
            <w:tcW w:type="dxa" w:w="2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Charged directly by Meta</w:t>
            </w:r>
          </w:p>
        </w:tc>
        <w:tc>
          <w:tcPr>
            <w:tcW w:type="dxa" w:w="19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Meta</w:t>
            </w:r>
          </w:p>
        </w:tc>
      </w:tr>
      <w:tr>
        <w:tc>
          <w:tcPr>
            <w:tcW w:type="dxa" w:w="33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Estimated 90-day media spend</w:t>
            </w:r>
          </w:p>
        </w:tc>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Approx. $900</w:t>
            </w:r>
          </w:p>
        </w:tc>
        <w:tc>
          <w:tcPr>
            <w:tcW w:type="dxa" w:w="2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Based on 90 days</w:t>
            </w:r>
          </w:p>
        </w:tc>
        <w:tc>
          <w:tcPr>
            <w:tcW w:type="dxa" w:w="19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Meta</w:t>
            </w:r>
          </w:p>
        </w:tc>
      </w:tr>
    </w:tbl>
    <w:p>
      <w:pPr>
        <w:spacing w:before="0" w:after="200" w:line="300" w:lineRule="auto"/>
        <w:jc w:val="left"/>
      </w:pPr>
      <w:r>
        <w:rPr>
          <w:rFonts w:ascii="Public Sans" w:hAnsi="Public Sans"/>
          <w:b w:val="0"/>
          <w:i w:val="0"/>
          <w:color w:val="111111"/>
          <w:sz w:val="21"/>
        </w:rPr>
        <w:t>The media budget is separate from the pilot fee and remains under True Diamond Finish’s control. Any third-party usage costs outside the items above—such as SMS or additional software licenses—must be approved before activation.</w:t>
      </w:r>
    </w:p>
    <w:p>
      <w:pPr>
        <w:pStyle w:val="Heading2"/>
      </w:pPr>
      <w:r>
        <w:t>The honest break-even view</w:t>
      </w:r>
    </w:p>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3120"/>
        <w:gridCol w:w="3120"/>
        <w:gridCol w:w="3120"/>
      </w:tblGrid>
      <w:tr>
        <w:tc>
          <w:tcPr>
            <w:tcW w:type="dxa" w:w="3120"/>
            <w:tcMar>
              <w:top w:w="170" w:type="dxa"/>
              <w:start w:w="160" w:type="dxa"/>
              <w:bottom w:w="170" w:type="dxa"/>
              <w:end w:w="160" w:type="dxa"/>
            </w:tcMar>
            <w:vAlign w:val="center"/>
            <w:shd w:fill="FFFFFF"/>
          </w:tcPr>
          <w:p>
            <w:pPr>
              <w:spacing w:after="60"/>
              <w:jc w:val="center"/>
            </w:pPr>
            <w:r>
              <w:rPr>
                <w:rFonts w:ascii="Syne" w:hAnsi="Syne"/>
                <w:b/>
                <w:i w:val="0"/>
                <w:color w:val="9F3826"/>
                <w:sz w:val="34"/>
              </w:rPr>
              <w:t>$150</w:t>
            </w:r>
          </w:p>
          <w:p>
            <w:pPr>
              <w:spacing w:after="0"/>
              <w:jc w:val="center"/>
            </w:pPr>
            <w:r>
              <w:rPr>
                <w:rFonts w:ascii="Public Sans" w:hAnsi="Public Sans"/>
                <w:b/>
                <w:i w:val="0"/>
                <w:color w:val="656565"/>
                <w:sz w:val="17"/>
              </w:rPr>
              <w:t>AVERAGE REVENUE / JOB</w:t>
            </w:r>
          </w:p>
        </w:tc>
        <w:tc>
          <w:tcPr>
            <w:tcW w:type="dxa" w:w="3120"/>
            <w:tcMar>
              <w:top w:w="170" w:type="dxa"/>
              <w:start w:w="160" w:type="dxa"/>
              <w:bottom w:w="170" w:type="dxa"/>
              <w:end w:w="160" w:type="dxa"/>
            </w:tcMar>
            <w:vAlign w:val="center"/>
            <w:shd w:fill="F8F8F5"/>
          </w:tcPr>
          <w:p>
            <w:pPr>
              <w:spacing w:after="60"/>
              <w:jc w:val="center"/>
            </w:pPr>
            <w:r>
              <w:rPr>
                <w:rFonts w:ascii="Syne" w:hAnsi="Syne"/>
                <w:b/>
                <w:i w:val="0"/>
                <w:color w:val="9F3826"/>
                <w:sz w:val="34"/>
              </w:rPr>
              <w:t>$55</w:t>
            </w:r>
          </w:p>
          <w:p>
            <w:pPr>
              <w:spacing w:after="0"/>
              <w:jc w:val="center"/>
            </w:pPr>
            <w:r>
              <w:rPr>
                <w:rFonts w:ascii="Public Sans" w:hAnsi="Public Sans"/>
                <w:b/>
                <w:i w:val="0"/>
                <w:color w:val="656565"/>
                <w:sz w:val="17"/>
              </w:rPr>
              <w:t>CONTRIBUTION / JOB</w:t>
            </w:r>
          </w:p>
        </w:tc>
        <w:tc>
          <w:tcPr>
            <w:tcW w:type="dxa" w:w="3120"/>
            <w:tcMar>
              <w:top w:w="170" w:type="dxa"/>
              <w:start w:w="160" w:type="dxa"/>
              <w:bottom w:w="170" w:type="dxa"/>
              <w:end w:w="160" w:type="dxa"/>
            </w:tcMar>
            <w:vAlign w:val="center"/>
            <w:shd w:fill="FFFFFF"/>
          </w:tcPr>
          <w:p>
            <w:pPr>
              <w:spacing w:after="60"/>
              <w:jc w:val="center"/>
            </w:pPr>
            <w:r>
              <w:rPr>
                <w:rFonts w:ascii="Syne" w:hAnsi="Syne"/>
                <w:b/>
                <w:i w:val="0"/>
                <w:color w:val="9F3826"/>
                <w:sz w:val="34"/>
              </w:rPr>
              <w:t>20%</w:t>
            </w:r>
          </w:p>
          <w:p>
            <w:pPr>
              <w:spacing w:after="0"/>
              <w:jc w:val="center"/>
            </w:pPr>
            <w:r>
              <w:rPr>
                <w:rFonts w:ascii="Public Sans" w:hAnsi="Public Sans"/>
                <w:b/>
                <w:i w:val="0"/>
                <w:color w:val="656565"/>
                <w:sz w:val="17"/>
              </w:rPr>
              <w:t>ASSUMED CLOSE RATE</w:t>
            </w:r>
          </w:p>
        </w:tc>
      </w:tr>
    </w:tbl>
    <w:p>
      <w:pPr>
        <w:spacing w:after="20"/>
      </w:pPr>
    </w:p>
    <w:p>
      <w:pPr>
        <w:spacing w:before="0" w:after="160" w:line="300" w:lineRule="auto"/>
        <w:jc w:val="left"/>
      </w:pPr>
      <w:r>
        <w:rPr>
          <w:rFonts w:ascii="Public Sans" w:hAnsi="Public Sans"/>
          <w:b w:val="0"/>
          <w:i w:val="0"/>
          <w:color w:val="111111"/>
          <w:sz w:val="21"/>
        </w:rPr>
        <w:t>Using the figures discussed, 23 additional customers create about $1,265 in contribution. That is a useful commercial milestone and roughly covers the $1,000 pilot fee plus about $265 in media.</w:t>
      </w:r>
    </w:p>
    <w:p>
      <w:pPr>
        <w:spacing w:before="0" w:after="160" w:line="300" w:lineRule="auto"/>
        <w:jc w:val="left"/>
      </w:pPr>
      <w:r>
        <w:rPr>
          <w:rFonts w:ascii="Public Sans" w:hAnsi="Public Sans"/>
          <w:b w:val="0"/>
          <w:i w:val="0"/>
          <w:color w:val="111111"/>
          <w:sz w:val="21"/>
        </w:rPr>
        <w:t>Full 90-day payback is a higher bar. A $1,000 pilot fee plus approximately $900 in media equals about $1,900. At $55 contribution per customer, full break-even requires approximately 35 incremental customers.</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3400"/>
        <w:gridCol w:w="1700"/>
        <w:gridCol w:w="2100"/>
        <w:gridCol w:w="2160"/>
      </w:tblGrid>
      <w:tr>
        <w:tc>
          <w:tcPr>
            <w:tcW w:type="dxa" w:w="34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Scenario</w:t>
            </w:r>
          </w:p>
        </w:tc>
        <w:tc>
          <w:tcPr>
            <w:tcW w:type="dxa" w:w="17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Customers</w:t>
            </w:r>
          </w:p>
        </w:tc>
        <w:tc>
          <w:tcPr>
            <w:tcW w:type="dxa" w:w="21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Revenue</w:t>
            </w:r>
          </w:p>
        </w:tc>
        <w:tc>
          <w:tcPr>
            <w:tcW w:type="dxa" w:w="216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Contribution</w:t>
            </w:r>
          </w:p>
        </w:tc>
      </w:tr>
      <w:tr>
        <w:tc>
          <w:tcPr>
            <w:tcW w:type="dxa" w:w="34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Commercial milestone</w:t>
            </w:r>
          </w:p>
        </w:tc>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23</w:t>
            </w:r>
          </w:p>
        </w:tc>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$3,450</w:t>
            </w:r>
          </w:p>
        </w:tc>
        <w:tc>
          <w:tcPr>
            <w:tcW w:type="dxa" w:w="21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$1,265</w:t>
            </w:r>
          </w:p>
        </w:tc>
      </w:tr>
      <w:tr>
        <w:tc>
          <w:tcPr>
            <w:tcW w:type="dxa" w:w="34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Full pilot break-even</w:t>
            </w:r>
          </w:p>
        </w:tc>
        <w:tc>
          <w:tcPr>
            <w:tcW w:type="dxa" w:w="17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35</w:t>
            </w:r>
          </w:p>
        </w:tc>
        <w:tc>
          <w:tcPr>
            <w:tcW w:type="dxa" w:w="21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$5,250</w:t>
            </w:r>
          </w:p>
        </w:tc>
        <w:tc>
          <w:tcPr>
            <w:tcW w:type="dxa" w:w="216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$1,925</w:t>
            </w:r>
          </w:p>
        </w:tc>
      </w:tr>
      <w:tr>
        <w:tc>
          <w:tcPr>
            <w:tcW w:type="dxa" w:w="34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At $10 CPL + 20% close</w:t>
            </w:r>
          </w:p>
        </w:tc>
        <w:tc>
          <w:tcPr>
            <w:tcW w:type="dxa" w:w="17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18</w:t>
            </w:r>
          </w:p>
        </w:tc>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$2,700</w:t>
            </w:r>
          </w:p>
        </w:tc>
        <w:tc>
          <w:tcPr>
            <w:tcW w:type="dxa" w:w="21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$990</w:t>
            </w:r>
          </w:p>
        </w:tc>
      </w:tr>
    </w:tbl>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9360"/>
      </w:tblGrid>
      <w:tr>
        <w:tc>
          <w:tcPr>
            <w:tcW w:type="dxa" w:w="9360"/>
            <w:tcMar>
              <w:top w:w="180" w:type="dxa"/>
              <w:start w:w="220" w:type="dxa"/>
              <w:bottom w:w="180" w:type="dxa"/>
              <w:end w:w="220" w:type="dxa"/>
            </w:tcMar>
            <w:vAlign w:val="center"/>
            <w:shd w:fill="DCE9DD"/>
          </w:tcPr>
          <w:p>
            <w:pPr>
              <w:spacing w:after="100"/>
            </w:pPr>
            <w:r>
              <w:rPr>
                <w:rFonts w:ascii="Syne" w:hAnsi="Syne"/>
                <w:b/>
                <w:i w:val="0"/>
                <w:color w:val="9F3826"/>
                <w:sz w:val="17"/>
              </w:rPr>
              <w:t>IMPORTANT</w:t>
            </w:r>
          </w:p>
          <w:p>
            <w:pPr>
              <w:keepNext/>
              <w:spacing w:after="100"/>
            </w:pPr>
            <w:r>
              <w:rPr>
                <w:rFonts w:ascii="Public Sans" w:hAnsi="Public Sans"/>
                <w:b/>
                <w:i w:val="0"/>
                <w:color w:val="111111"/>
                <w:sz w:val="26"/>
              </w:rPr>
              <w:t>A $10 CPL is a guardrail—not a profitability guarantee.</w:t>
            </w:r>
          </w:p>
          <w:p>
            <w:pPr>
              <w:spacing w:after="0" w:line="288" w:lineRule="auto"/>
            </w:pPr>
            <w:r>
              <w:rPr>
                <w:rFonts w:ascii="Public Sans" w:hAnsi="Public Sans"/>
                <w:b w:val="0"/>
                <w:i w:val="0"/>
                <w:color w:val="656565"/>
                <w:sz w:val="20"/>
              </w:rPr>
              <w:t>At $900 media spend, a $10 CPL produces about 90 leads. At a 20% close rate, that is 18 customers. To reach 35 customers with the same budget, the pilot would need roughly a $5.15 CPL, a close rate near 39%, a higher average margin, repeat purchases, upsells—or a combination of these.</w:t>
            </w:r>
          </w:p>
        </w:tc>
      </w:tr>
    </w:tbl>
    <w:p>
      <w:pPr>
        <w:spacing w:after="40"/>
      </w:pPr>
    </w:p>
    <w:p>
      <w:r>
        <w:br w:type="page"/>
      </w:r>
    </w:p>
    <w:p>
      <w:pPr>
        <w:pStyle w:val="Heading1"/>
      </w:pPr>
      <w:r>
        <w:t>4. Measurement and the win-win growth ladder</w:t>
      </w:r>
    </w:p>
    <w:p>
      <w:pPr>
        <w:spacing w:before="0" w:after="160" w:line="300" w:lineRule="auto"/>
        <w:jc w:val="left"/>
      </w:pPr>
      <w:r>
        <w:rPr>
          <w:rFonts w:ascii="Public Sans" w:hAnsi="Public Sans"/>
          <w:b w:val="0"/>
          <w:i w:val="0"/>
          <w:color w:val="111111"/>
          <w:sz w:val="21"/>
        </w:rPr>
        <w:t>The first 90 days remain simple: the fixed $1,000 pilot fee covers the build, campaign management and learning period. There is no additional success fee during the pilot. After 90 days, both sides review the same CRM data and choose the next model.</w:t>
      </w:r>
    </w:p>
    <w:p>
      <w:pPr>
        <w:pStyle w:val="Heading2"/>
      </w:pPr>
      <w:r>
        <w:t>Pilot scorecard</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2100"/>
        <w:gridCol w:w="2100"/>
        <w:gridCol w:w="3560"/>
        <w:gridCol w:w="1600"/>
      </w:tblGrid>
      <w:tr>
        <w:tc>
          <w:tcPr>
            <w:tcW w:type="dxa" w:w="21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Metric</w:t>
            </w:r>
          </w:p>
        </w:tc>
        <w:tc>
          <w:tcPr>
            <w:tcW w:type="dxa" w:w="21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Target / guardrail</w:t>
            </w:r>
          </w:p>
        </w:tc>
        <w:tc>
          <w:tcPr>
            <w:tcW w:type="dxa" w:w="356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Why it matters</w:t>
            </w:r>
          </w:p>
        </w:tc>
        <w:tc>
          <w:tcPr>
            <w:tcW w:type="dxa" w:w="16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Source</w:t>
            </w:r>
          </w:p>
        </w:tc>
      </w:tr>
      <w:tr>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Cost per lead</w:t>
            </w:r>
          </w:p>
        </w:tc>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 $10 target</w:t>
            </w:r>
          </w:p>
        </w:tc>
        <w:tc>
          <w:tcPr>
            <w:tcW w:type="dxa" w:w="3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Controls acquisition efficiency</w:t>
            </w:r>
          </w:p>
        </w:tc>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Meta + CRM</w:t>
            </w:r>
          </w:p>
        </w:tc>
      </w:tr>
      <w:tr>
        <w:tc>
          <w:tcPr>
            <w:tcW w:type="dxa" w:w="21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Lead response time</w:t>
            </w:r>
          </w:p>
        </w:tc>
        <w:tc>
          <w:tcPr>
            <w:tcW w:type="dxa" w:w="21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 10 minutes in business hours</w:t>
            </w:r>
          </w:p>
        </w:tc>
        <w:tc>
          <w:tcPr>
            <w:tcW w:type="dxa" w:w="3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Improves the chance of booking</w:t>
            </w:r>
          </w:p>
        </w:tc>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CRM</w:t>
            </w:r>
          </w:p>
        </w:tc>
      </w:tr>
      <w:tr>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Lead-to-customer rate</w:t>
            </w:r>
          </w:p>
        </w:tc>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20% baseline</w:t>
            </w:r>
          </w:p>
        </w:tc>
        <w:tc>
          <w:tcPr>
            <w:tcW w:type="dxa" w:w="3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Tests sales follow-up quality</w:t>
            </w:r>
          </w:p>
        </w:tc>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CRM</w:t>
            </w:r>
          </w:p>
        </w:tc>
      </w:tr>
      <w:tr>
        <w:tc>
          <w:tcPr>
            <w:tcW w:type="dxa" w:w="21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Booked appointment rate</w:t>
            </w:r>
          </w:p>
        </w:tc>
        <w:tc>
          <w:tcPr>
            <w:tcW w:type="dxa" w:w="21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Measured weekly</w:t>
            </w:r>
          </w:p>
        </w:tc>
        <w:tc>
          <w:tcPr>
            <w:tcW w:type="dxa" w:w="3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Separates lead quality from closing</w:t>
            </w:r>
          </w:p>
        </w:tc>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Square + CRM</w:t>
            </w:r>
          </w:p>
        </w:tc>
      </w:tr>
      <w:tr>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Contribution per job</w:t>
            </w:r>
          </w:p>
        </w:tc>
        <w:tc>
          <w:tcPr>
            <w:tcW w:type="dxa" w:w="21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$55 baseline</w:t>
            </w:r>
          </w:p>
        </w:tc>
        <w:tc>
          <w:tcPr>
            <w:tcW w:type="dxa" w:w="3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Connects marketing to real economics</w:t>
            </w:r>
          </w:p>
        </w:tc>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TDF</w:t>
            </w:r>
          </w:p>
        </w:tc>
      </w:tr>
      <w:tr>
        <w:tc>
          <w:tcPr>
            <w:tcW w:type="dxa" w:w="21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Attributable customers</w:t>
            </w:r>
          </w:p>
        </w:tc>
        <w:tc>
          <w:tcPr>
            <w:tcW w:type="dxa" w:w="21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23 milestone / 35 break-even</w:t>
            </w:r>
          </w:p>
        </w:tc>
        <w:tc>
          <w:tcPr>
            <w:tcW w:type="dxa" w:w="3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Shows commercial and full-payback progress</w:t>
            </w:r>
          </w:p>
        </w:tc>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CRM</w:t>
            </w:r>
          </w:p>
        </w:tc>
      </w:tr>
    </w:tbl>
    <w:p>
      <w:pPr>
        <w:pStyle w:val="Heading2"/>
      </w:pPr>
      <w:r>
        <w:t>Recommended post-pilot ladder</w:t>
      </w:r>
    </w:p>
    <w:p>
      <w:pPr>
        <w:spacing w:before="0" w:after="160" w:line="300" w:lineRule="auto"/>
        <w:jc w:val="left"/>
      </w:pPr>
      <w:r>
        <w:rPr>
          <w:rFonts w:ascii="Public Sans" w:hAnsi="Public Sans"/>
          <w:b w:val="0"/>
          <w:i w:val="0"/>
          <w:color w:val="111111"/>
          <w:sz w:val="21"/>
        </w:rPr>
        <w:t>The next agreement should contain a modest base fee for the real monthly work, plus a success fee only after True Diamond Finish has passed the agreed contribution hurdle. That prevents the partners from being rewarded while the client is still underwater.</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2500"/>
        <w:gridCol w:w="1900"/>
        <w:gridCol w:w="2900"/>
        <w:gridCol w:w="2060"/>
      </w:tblGrid>
      <w:tr>
        <w:tc>
          <w:tcPr>
            <w:tcW w:type="dxa" w:w="25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90-day attributable result</w:t>
            </w:r>
          </w:p>
        </w:tc>
        <w:tc>
          <w:tcPr>
            <w:tcW w:type="dxa" w:w="19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Success fee</w:t>
            </w:r>
          </w:p>
        </w:tc>
        <w:tc>
          <w:tcPr>
            <w:tcW w:type="dxa" w:w="29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Meaning</w:t>
            </w:r>
          </w:p>
        </w:tc>
        <w:tc>
          <w:tcPr>
            <w:tcW w:type="dxa" w:w="206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Next move</w:t>
            </w:r>
          </w:p>
        </w:tc>
      </w:tr>
      <w:tr>
        <w:tc>
          <w:tcPr>
            <w:tcW w:type="dxa" w:w="25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0–22 completed jobs</w:t>
            </w:r>
          </w:p>
        </w:tc>
        <w:tc>
          <w:tcPr>
            <w:tcW w:type="dxa" w:w="19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$0 per job</w:t>
            </w:r>
          </w:p>
        </w:tc>
        <w:tc>
          <w:tcPr>
            <w:tcW w:type="dxa" w:w="29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Pilot has not reached the commercial milestone</w:t>
            </w:r>
          </w:p>
        </w:tc>
        <w:tc>
          <w:tcPr>
            <w:tcW w:type="dxa" w:w="20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Fix offer, creative, page or follow-up before scaling</w:t>
            </w:r>
          </w:p>
        </w:tc>
      </w:tr>
      <w:tr>
        <w:tc>
          <w:tcPr>
            <w:tcW w:type="dxa" w:w="25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23–34 completed jobs</w:t>
            </w:r>
          </w:p>
        </w:tc>
        <w:tc>
          <w:tcPr>
            <w:tcW w:type="dxa" w:w="19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$0 per job</w:t>
            </w:r>
          </w:p>
        </w:tc>
        <w:tc>
          <w:tcPr>
            <w:tcW w:type="dxa" w:w="29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Strong signal, but full pilot cost is not yet recovered</w:t>
            </w:r>
          </w:p>
        </w:tc>
        <w:tc>
          <w:tcPr>
            <w:tcW w:type="dxa" w:w="20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Maintain budget and improve conversion</w:t>
            </w:r>
          </w:p>
        </w:tc>
      </w:tr>
      <w:tr>
        <w:tc>
          <w:tcPr>
            <w:tcW w:type="dxa" w:w="25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35–45 completed jobs</w:t>
            </w:r>
          </w:p>
        </w:tc>
        <w:tc>
          <w:tcPr>
            <w:tcW w:type="dxa" w:w="19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$10 per job above 35</w:t>
            </w:r>
          </w:p>
        </w:tc>
        <w:tc>
          <w:tcPr>
            <w:tcW w:type="dxa" w:w="29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Full pilot economics have crossed break-even</w:t>
            </w:r>
          </w:p>
        </w:tc>
        <w:tc>
          <w:tcPr>
            <w:tcW w:type="dxa" w:w="206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Scale carefully</w:t>
            </w:r>
          </w:p>
        </w:tc>
      </w:tr>
      <w:tr>
        <w:tc>
          <w:tcPr>
            <w:tcW w:type="dxa" w:w="25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46–60 completed jobs</w:t>
            </w:r>
          </w:p>
        </w:tc>
        <w:tc>
          <w:tcPr>
            <w:tcW w:type="dxa" w:w="19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$15 per job above 45</w:t>
            </w:r>
          </w:p>
        </w:tc>
        <w:tc>
          <w:tcPr>
            <w:tcW w:type="dxa" w:w="29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Profitable, repeatable acquisition is emerging</w:t>
            </w:r>
          </w:p>
        </w:tc>
        <w:tc>
          <w:tcPr>
            <w:tcW w:type="dxa" w:w="206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Increase media in controlled steps</w:t>
            </w:r>
          </w:p>
        </w:tc>
      </w:tr>
      <w:tr>
        <w:tc>
          <w:tcPr>
            <w:tcW w:type="dxa" w:w="25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61+ completed jobs</w:t>
            </w:r>
          </w:p>
        </w:tc>
        <w:tc>
          <w:tcPr>
            <w:tcW w:type="dxa" w:w="19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$20 per job above 60</w:t>
            </w:r>
          </w:p>
        </w:tc>
        <w:tc>
          <w:tcPr>
            <w:tcW w:type="dxa" w:w="290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High-volume performance with room to share upside</w:t>
            </w:r>
          </w:p>
        </w:tc>
        <w:tc>
          <w:tcPr>
            <w:tcW w:type="dxa" w:w="2060"/>
            <w:tcMar>
              <w:top w:w="120" w:type="dxa"/>
              <w:start w:w="150" w:type="dxa"/>
              <w:bottom w:w="120" w:type="dxa"/>
              <w:end w:w="150" w:type="dxa"/>
            </w:tcMar>
            <w:vAlign w:val="center"/>
            <w:shd w:fill="DCE9DD"/>
          </w:tcPr>
          <w:p>
            <w:pPr>
              <w:spacing w:after="0" w:line="269" w:lineRule="auto"/>
            </w:pPr>
            <w:r>
              <w:rPr>
                <w:rFonts w:ascii="Public Sans" w:hAnsi="Public Sans"/>
                <w:b w:val="0"/>
                <w:i w:val="0"/>
                <w:color w:val="111111"/>
                <w:sz w:val="18"/>
              </w:rPr>
              <w:t>Agree capacity and expand geography/offers</w:t>
            </w:r>
          </w:p>
        </w:tc>
      </w:tr>
    </w:tbl>
    <w:p>
      <w:pPr>
        <w:spacing w:before="0" w:after="120" w:line="300" w:lineRule="auto"/>
        <w:jc w:val="left"/>
      </w:pPr>
      <w:r>
        <w:rPr>
          <w:rFonts w:ascii="Public Sans" w:hAnsi="Public Sans"/>
          <w:b w:val="0"/>
          <w:i w:val="0"/>
          <w:color w:val="111111"/>
          <w:sz w:val="21"/>
        </w:rPr>
        <w:t>Final post-pilot base fee, attribution window and tier thresholds will be confirmed after the first 90 days. A suggested attribution rule is: a completed and paid job is attributable when the original lead entered through the pilot campaign or landing page within the prior 30 days.</w:t>
      </w:r>
    </w:p>
    <w:p>
      <w:pPr>
        <w:spacing w:before="0" w:after="160" w:line="300" w:lineRule="auto"/>
        <w:jc w:val="left"/>
      </w:pPr>
      <w:r>
        <w:rPr>
          <w:rFonts w:ascii="Public Sans" w:hAnsi="Public Sans"/>
          <w:b w:val="0"/>
          <w:i w:val="0"/>
          <w:color w:val="111111"/>
          <w:sz w:val="21"/>
        </w:rPr>
        <w:t>Why this is win-win: True Diamond Finish keeps the first part of the upside to recover the pilot investment. Autopilots and Smartleads participate only when additional completed jobs create measurable value.</w:t>
      </w:r>
    </w:p>
    <w:p>
      <w:pPr>
        <w:pStyle w:val="Heading1"/>
      </w:pPr>
      <w:r>
        <w:t>5. 90-day rollout</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1600"/>
        <w:gridCol w:w="5200"/>
        <w:gridCol w:w="2560"/>
      </w:tblGrid>
      <w:tr>
        <w:tc>
          <w:tcPr>
            <w:tcW w:type="dxa" w:w="16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Period</w:t>
            </w:r>
          </w:p>
        </w:tc>
        <w:tc>
          <w:tcPr>
            <w:tcW w:type="dxa" w:w="520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What happens</w:t>
            </w:r>
          </w:p>
        </w:tc>
        <w:tc>
          <w:tcPr>
            <w:tcW w:type="dxa" w:w="2560"/>
            <w:tcMar>
              <w:top w:w="120" w:type="dxa"/>
              <w:start w:w="150" w:type="dxa"/>
              <w:bottom w:w="120" w:type="dxa"/>
              <w:end w:w="150" w:type="dxa"/>
            </w:tcMar>
            <w:vAlign w:val="center"/>
            <w:shd w:fill="111111"/>
          </w:tcPr>
          <w:p>
            <w:pPr>
              <w:spacing w:after="0" w:line="269" w:lineRule="auto"/>
            </w:pPr>
            <w:r>
              <w:rPr>
                <w:rFonts w:ascii="Public Sans" w:hAnsi="Public Sans"/>
                <w:b/>
                <w:i w:val="0"/>
                <w:color w:val="FFFFFF"/>
                <w:sz w:val="18"/>
              </w:rPr>
              <w:t>Decision / output</w:t>
            </w:r>
          </w:p>
        </w:tc>
      </w:tr>
      <w:tr>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Week 1</w:t>
            </w:r>
          </w:p>
        </w:tc>
        <w:tc>
          <w:tcPr>
            <w:tcW w:type="dxa" w:w="52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Offer workshop, service radius, access, assets, tracking plan and CRM stages.</w:t>
            </w:r>
          </w:p>
        </w:tc>
        <w:tc>
          <w:tcPr>
            <w:tcW w:type="dxa" w:w="2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Pilot brief approved</w:t>
            </w:r>
          </w:p>
        </w:tc>
      </w:tr>
      <w:tr>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Week 2</w:t>
            </w:r>
          </w:p>
        </w:tc>
        <w:tc>
          <w:tcPr>
            <w:tcW w:type="dxa" w:w="52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Landing page build, Square route, lead form, CRM pipeline and campaign preparation.</w:t>
            </w:r>
          </w:p>
        </w:tc>
        <w:tc>
          <w:tcPr>
            <w:tcW w:type="dxa" w:w="2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Ready for review</w:t>
            </w:r>
          </w:p>
        </w:tc>
      </w:tr>
      <w:tr>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Week 3</w:t>
            </w:r>
          </w:p>
        </w:tc>
        <w:tc>
          <w:tcPr>
            <w:tcW w:type="dxa" w:w="52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Quality check, mobile review, tracking test and campaign launch.</w:t>
            </w:r>
          </w:p>
        </w:tc>
        <w:tc>
          <w:tcPr>
            <w:tcW w:type="dxa" w:w="2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Pilot goes live</w:t>
            </w:r>
          </w:p>
        </w:tc>
      </w:tr>
      <w:tr>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Weeks 4–6</w:t>
            </w:r>
          </w:p>
        </w:tc>
        <w:tc>
          <w:tcPr>
            <w:tcW w:type="dxa" w:w="52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Test before/after angles, copy and audiences. Review lead quality and response speed.</w:t>
            </w:r>
          </w:p>
        </w:tc>
        <w:tc>
          <w:tcPr>
            <w:tcW w:type="dxa" w:w="2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First optimization cycle</w:t>
            </w:r>
          </w:p>
        </w:tc>
      </w:tr>
      <w:tr>
        <w:tc>
          <w:tcPr>
            <w:tcW w:type="dxa" w:w="16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Weeks 7–10</w:t>
            </w:r>
          </w:p>
        </w:tc>
        <w:tc>
          <w:tcPr>
            <w:tcW w:type="dxa" w:w="520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Keep winners, replace weak creatives and improve booking friction.</w:t>
            </w:r>
          </w:p>
        </w:tc>
        <w:tc>
          <w:tcPr>
            <w:tcW w:type="dxa" w:w="2560"/>
            <w:tcMar>
              <w:top w:w="120" w:type="dxa"/>
              <w:start w:w="150" w:type="dxa"/>
              <w:bottom w:w="120" w:type="dxa"/>
              <w:end w:w="150" w:type="dxa"/>
            </w:tcMar>
            <w:vAlign w:val="center"/>
            <w:shd w:fill="FFFFFF"/>
          </w:tcPr>
          <w:p>
            <w:pPr>
              <w:spacing w:after="0" w:line="269" w:lineRule="auto"/>
            </w:pPr>
            <w:r>
              <w:rPr>
                <w:rFonts w:ascii="Public Sans" w:hAnsi="Public Sans"/>
                <w:b w:val="0"/>
                <w:i w:val="0"/>
                <w:color w:val="111111"/>
                <w:sz w:val="18"/>
              </w:rPr>
              <w:t>Second optimization cycle</w:t>
            </w:r>
          </w:p>
        </w:tc>
      </w:tr>
      <w:tr>
        <w:tc>
          <w:tcPr>
            <w:tcW w:type="dxa" w:w="16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Weeks 11–13</w:t>
            </w:r>
          </w:p>
        </w:tc>
        <w:tc>
          <w:tcPr>
            <w:tcW w:type="dxa" w:w="520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Consolidate results, verify closed revenue and calculate unit economics.</w:t>
            </w:r>
          </w:p>
        </w:tc>
        <w:tc>
          <w:tcPr>
            <w:tcW w:type="dxa" w:w="2560"/>
            <w:tcMar>
              <w:top w:w="120" w:type="dxa"/>
              <w:start w:w="150" w:type="dxa"/>
              <w:bottom w:w="120" w:type="dxa"/>
              <w:end w:w="150" w:type="dxa"/>
            </w:tcMar>
            <w:vAlign w:val="center"/>
            <w:shd w:fill="F8F8F5"/>
          </w:tcPr>
          <w:p>
            <w:pPr>
              <w:spacing w:after="0" w:line="269" w:lineRule="auto"/>
            </w:pPr>
            <w:r>
              <w:rPr>
                <w:rFonts w:ascii="Public Sans" w:hAnsi="Public Sans"/>
                <w:b w:val="0"/>
                <w:i w:val="0"/>
                <w:color w:val="111111"/>
                <w:sz w:val="18"/>
              </w:rPr>
              <w:t>90-day review and next-step proposal</w:t>
            </w:r>
          </w:p>
        </w:tc>
      </w:tr>
    </w:tbl>
    <w:p>
      <w:r>
        <w:br w:type="page"/>
      </w:r>
    </w:p>
    <w:p>
      <w:pPr>
        <w:pStyle w:val="Heading2"/>
      </w:pPr>
      <w:r>
        <w:t>What we need from True Diamond Finish</w:t>
      </w:r>
    </w:p>
    <w:p>
      <w:pPr>
        <w:pStyle w:val="ListBullet"/>
        <w:keepLines/>
        <w:spacing w:after="80" w:line="283" w:lineRule="auto"/>
      </w:pPr>
      <w:r>
        <w:rPr>
          <w:rFonts w:ascii="Public Sans" w:hAnsi="Public Sans"/>
          <w:b w:val="0"/>
          <w:i w:val="0"/>
          <w:color w:val="111111"/>
          <w:sz w:val="20"/>
        </w:rPr>
        <w:t>One decision-maker for the pilot and one person responsible for daily lead follow-up.</w:t>
      </w:r>
    </w:p>
    <w:p>
      <w:pPr>
        <w:pStyle w:val="ListBullet"/>
        <w:keepLines/>
        <w:spacing w:after="80" w:line="283" w:lineRule="auto"/>
      </w:pPr>
      <w:r>
        <w:rPr>
          <w:rFonts w:ascii="Public Sans" w:hAnsi="Public Sans"/>
          <w:b w:val="0"/>
          <w:i w:val="0"/>
          <w:color w:val="111111"/>
          <w:sz w:val="20"/>
        </w:rPr>
        <w:t>Access needed for Meta, Square booking, domain/landing-page setup and CRM users.</w:t>
      </w:r>
    </w:p>
    <w:p>
      <w:pPr>
        <w:pStyle w:val="ListBullet"/>
        <w:keepLines/>
        <w:spacing w:after="80" w:line="283" w:lineRule="auto"/>
      </w:pPr>
      <w:r>
        <w:rPr>
          <w:rFonts w:ascii="Public Sans" w:hAnsi="Public Sans"/>
          <w:b w:val="0"/>
          <w:i w:val="0"/>
          <w:color w:val="111111"/>
          <w:sz w:val="20"/>
        </w:rPr>
        <w:t>A curated asset folder: strongest 15–25 before/after sets, 3–5 videos and 3–5 testimonials.</w:t>
      </w:r>
    </w:p>
    <w:p>
      <w:pPr>
        <w:pStyle w:val="ListBullet"/>
        <w:keepLines/>
        <w:spacing w:after="80" w:line="283" w:lineRule="auto"/>
      </w:pPr>
      <w:r>
        <w:rPr>
          <w:rFonts w:ascii="Public Sans" w:hAnsi="Public Sans"/>
          <w:b w:val="0"/>
          <w:i w:val="0"/>
          <w:color w:val="111111"/>
          <w:sz w:val="20"/>
        </w:rPr>
        <w:t>Confirmed packages, starting prices, service radius, working hours and appointment capacity.</w:t>
      </w:r>
    </w:p>
    <w:p>
      <w:pPr>
        <w:pStyle w:val="ListBullet"/>
        <w:keepLines/>
        <w:spacing w:after="80" w:line="283" w:lineRule="auto"/>
      </w:pPr>
      <w:r>
        <w:rPr>
          <w:rFonts w:ascii="Public Sans" w:hAnsi="Public Sans"/>
          <w:b w:val="0"/>
          <w:i w:val="0"/>
          <w:color w:val="111111"/>
          <w:sz w:val="20"/>
        </w:rPr>
        <w:t>Pipeline updates within 48 hours and actual job value after completion.</w:t>
      </w:r>
    </w:p>
    <w:p>
      <w:pPr>
        <w:pStyle w:val="ListBullet"/>
        <w:keepLines/>
        <w:spacing w:after="80" w:line="283" w:lineRule="auto"/>
      </w:pPr>
      <w:r>
        <w:rPr>
          <w:rFonts w:ascii="Public Sans" w:hAnsi="Public Sans"/>
          <w:b w:val="0"/>
          <w:i w:val="0"/>
          <w:color w:val="111111"/>
          <w:sz w:val="20"/>
        </w:rPr>
        <w:t>A practical response commitment during business hours; slow follow-up will be visible in the reporting.</w:t>
      </w:r>
    </w:p>
    <w:p>
      <w:pPr>
        <w:pStyle w:val="Heading2"/>
      </w:pPr>
      <w:r>
        <w:t>Boundaries</w:t>
      </w:r>
    </w:p>
    <w:p>
      <w:pPr>
        <w:pStyle w:val="ListBullet"/>
        <w:keepLines/>
        <w:spacing w:after="80" w:line="283" w:lineRule="auto"/>
      </w:pPr>
      <w:r>
        <w:rPr>
          <w:rFonts w:ascii="Public Sans" w:hAnsi="Public Sans"/>
          <w:b w:val="0"/>
          <w:i w:val="0"/>
          <w:color w:val="111111"/>
          <w:sz w:val="20"/>
        </w:rPr>
        <w:t>No guaranteed number of leads, bookings or sales. Paid media performance depends on market response, creative, seasonality, capacity and follow-up.</w:t>
      </w:r>
    </w:p>
    <w:p>
      <w:pPr>
        <w:pStyle w:val="ListBullet"/>
        <w:keepLines/>
        <w:spacing w:after="80" w:line="283" w:lineRule="auto"/>
      </w:pPr>
      <w:r>
        <w:rPr>
          <w:rFonts w:ascii="Public Sans" w:hAnsi="Public Sans"/>
          <w:b w:val="0"/>
          <w:i w:val="0"/>
          <w:color w:val="111111"/>
          <w:sz w:val="20"/>
        </w:rPr>
        <w:t>The initial campaign is B2C mobile detailing within one agreed local service area. B2B dealership outreach and AI voice follow-up are separate future workstreams.</w:t>
      </w:r>
    </w:p>
    <w:p>
      <w:pPr>
        <w:pStyle w:val="ListBullet"/>
        <w:keepLines/>
        <w:spacing w:after="80" w:line="283" w:lineRule="auto"/>
      </w:pPr>
      <w:r>
        <w:rPr>
          <w:rFonts w:ascii="Public Sans" w:hAnsi="Public Sans"/>
          <w:b w:val="0"/>
          <w:i w:val="0"/>
          <w:color w:val="111111"/>
          <w:sz w:val="20"/>
        </w:rPr>
        <w:t>Major website rebuilds, new content production, advanced AI voice agents and outbound sales services are not included in this pilot.</w:t>
      </w:r>
    </w:p>
    <w:p>
      <w:pPr>
        <w:pStyle w:val="ListBullet"/>
        <w:keepLines/>
        <w:spacing w:after="80" w:line="283" w:lineRule="auto"/>
      </w:pPr>
      <w:r>
        <w:rPr>
          <w:rFonts w:ascii="Public Sans" w:hAnsi="Public Sans"/>
          <w:b w:val="0"/>
          <w:i w:val="0"/>
          <w:color w:val="111111"/>
          <w:sz w:val="20"/>
        </w:rPr>
        <w:t>True Diamond Finish owns its customer data, ad account and payment relationship with Meta.</w:t>
      </w:r>
    </w:p>
    <w:p>
      <w:r>
        <w:br w:type="page"/>
      </w:r>
    </w:p>
    <w:p>
      <w:pPr>
        <w:pStyle w:val="Heading1"/>
      </w:pPr>
      <w:r>
        <w:t>6. Decision</w:t>
      </w:r>
    </w:p>
    <w:tbl>
      <w:tblPr>
        <w:tblW w:type="dxa" w:w="9360"/>
        <w:jc w:val="left"/>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9360"/>
      </w:tblGrid>
      <w:tr>
        <w:tc>
          <w:tcPr>
            <w:tcW w:type="dxa" w:w="9360"/>
            <w:tcMar>
              <w:top w:w="180" w:type="dxa"/>
              <w:start w:w="220" w:type="dxa"/>
              <w:bottom w:w="180" w:type="dxa"/>
              <w:end w:w="220" w:type="dxa"/>
            </w:tcMar>
            <w:vAlign w:val="center"/>
            <w:shd w:fill="DCE9DD"/>
          </w:tcPr>
          <w:p>
            <w:pPr>
              <w:spacing w:after="100"/>
            </w:pPr>
            <w:r>
              <w:rPr>
                <w:rFonts w:ascii="Syne" w:hAnsi="Syne"/>
                <w:b/>
                <w:i w:val="0"/>
                <w:color w:val="9F3826"/>
                <w:sz w:val="17"/>
              </w:rPr>
              <w:t>RECOMMENDED NEXT STEP</w:t>
            </w:r>
          </w:p>
          <w:p>
            <w:pPr>
              <w:keepNext/>
              <w:spacing w:after="100"/>
            </w:pPr>
            <w:r>
              <w:rPr>
                <w:rFonts w:ascii="Public Sans" w:hAnsi="Public Sans"/>
                <w:b/>
                <w:i w:val="0"/>
                <w:color w:val="111111"/>
                <w:sz w:val="26"/>
              </w:rPr>
              <w:t>Approve the 90-day pilot and start with one tightly defined local offer.</w:t>
            </w:r>
          </w:p>
          <w:p>
            <w:pPr>
              <w:spacing w:after="0" w:line="288" w:lineRule="auto"/>
            </w:pPr>
            <w:r>
              <w:rPr>
                <w:rFonts w:ascii="Public Sans" w:hAnsi="Public Sans"/>
                <w:b w:val="0"/>
                <w:i w:val="0"/>
                <w:color w:val="656565"/>
                <w:sz w:val="20"/>
              </w:rPr>
              <w:t>The first goal is not to scale immediately. It is to prove a repeatable route from a local ad to a completed, profitable mobile-detailing job.</w:t>
            </w:r>
          </w:p>
        </w:tc>
      </w:tr>
    </w:tbl>
    <w:p>
      <w:pPr>
        <w:spacing w:after="40"/>
      </w:pPr>
    </w:p>
    <w:p>
      <w:pPr>
        <w:pStyle w:val="Heading2"/>
      </w:pPr>
      <w:r>
        <w:t>Pilot approval</w:t>
      </w:r>
    </w:p>
    <w:tbl>
      <w:tblPr>
        <w:tblW w:type="dxa" w:w="9360"/>
        <w:tblLayout w:type="fixed"/>
        <w:tblLook w:firstColumn="1" w:firstRow="1" w:lastColumn="0" w:lastRow="0" w:noHBand="0" w:noVBand="1" w:val="04A0"/>
        <w:tblInd w:w="120" w:type="dxa"/>
        <w:tblBorders>
          <w:top w:val="single" w:sz="7" w:color="D9D9D3"/>
          <w:left w:val="single" w:sz="7" w:color="D9D9D3"/>
          <w:bottom w:val="single" w:sz="7" w:color="D9D9D3"/>
          <w:right w:val="single" w:sz="7" w:color="D9D9D3"/>
          <w:insideH w:val="single" w:sz="7" w:color="D9D9D3"/>
          <w:insideV w:val="single" w:sz="7" w:color="D9D9D3"/>
        </w:tblBorders>
      </w:tblPr>
      <w:tblGrid>
        <w:gridCol w:w="2200"/>
        <w:gridCol w:w="7160"/>
      </w:tblGrid>
      <w:tr>
        <w:tc>
          <w:tcPr>
            <w:tcW w:type="dxa" w:w="2200"/>
            <w:shd w:fill="F8F8F5"/>
            <w:tcMar>
              <w:top w:w="120" w:type="dxa"/>
              <w:start w:w="150" w:type="dxa"/>
              <w:bottom w:w="120" w:type="dxa"/>
              <w:end w:w="150" w:type="dxa"/>
            </w:tcMar>
            <w:vAlign w:val="center"/>
          </w:tcPr>
          <w:p>
            <w:pPr>
              <w:spacing w:after="0" w:line="269" w:lineRule="auto"/>
            </w:pPr>
            <w:r>
              <w:rPr>
                <w:rFonts w:ascii="Public Sans" w:hAnsi="Public Sans"/>
                <w:b/>
                <w:i w:val="0"/>
                <w:color w:val="7D2A1D"/>
                <w:sz w:val="18"/>
              </w:rPr>
              <w:t>Pilot</w:t>
            </w:r>
          </w:p>
        </w:tc>
        <w:tc>
          <w:tcPr>
            <w:tcW w:type="dxa" w:w="7160"/>
            <w:shd w:fill="FFFFFF"/>
            <w:tcMar>
              <w:top w:w="120" w:type="dxa"/>
              <w:start w:w="150" w:type="dxa"/>
              <w:bottom w:w="120" w:type="dxa"/>
              <w:end w:w="150" w:type="dxa"/>
            </w:tcMar>
            <w:vAlign w:val="center"/>
          </w:tcPr>
          <w:p>
            <w:pPr>
              <w:spacing w:after="0" w:line="269" w:lineRule="auto"/>
            </w:pPr>
            <w:r>
              <w:rPr>
                <w:rFonts w:ascii="Public Sans" w:hAnsi="Public Sans"/>
                <w:b w:val="0"/>
                <w:i w:val="0"/>
                <w:color w:val="111111"/>
                <w:sz w:val="18"/>
              </w:rPr>
              <w:t>90-day local growth pilot</w:t>
            </w:r>
          </w:p>
        </w:tc>
      </w:tr>
      <w:tr>
        <w:tc>
          <w:tcPr>
            <w:tcW w:type="dxa" w:w="2200"/>
            <w:shd w:fill="F8F8F5"/>
            <w:tcMar>
              <w:top w:w="120" w:type="dxa"/>
              <w:start w:w="150" w:type="dxa"/>
              <w:bottom w:w="120" w:type="dxa"/>
              <w:end w:w="150" w:type="dxa"/>
            </w:tcMar>
            <w:vAlign w:val="center"/>
          </w:tcPr>
          <w:p>
            <w:pPr>
              <w:spacing w:after="0" w:line="269" w:lineRule="auto"/>
            </w:pPr>
            <w:r>
              <w:rPr>
                <w:rFonts w:ascii="Public Sans" w:hAnsi="Public Sans"/>
                <w:b/>
                <w:i w:val="0"/>
                <w:color w:val="7D2A1D"/>
                <w:sz w:val="18"/>
              </w:rPr>
              <w:t>Pilot fee</w:t>
            </w:r>
          </w:p>
        </w:tc>
        <w:tc>
          <w:tcPr>
            <w:tcW w:type="dxa" w:w="7160"/>
            <w:shd w:fill="FFFFFF"/>
            <w:tcMar>
              <w:top w:w="120" w:type="dxa"/>
              <w:start w:w="150" w:type="dxa"/>
              <w:bottom w:w="120" w:type="dxa"/>
              <w:end w:w="150" w:type="dxa"/>
            </w:tcMar>
            <w:vAlign w:val="center"/>
          </w:tcPr>
          <w:p>
            <w:pPr>
              <w:spacing w:after="0" w:line="269" w:lineRule="auto"/>
            </w:pPr>
            <w:r>
              <w:rPr>
                <w:rFonts w:ascii="Public Sans" w:hAnsi="Public Sans"/>
                <w:b w:val="0"/>
                <w:i w:val="0"/>
                <w:color w:val="111111"/>
                <w:sz w:val="18"/>
              </w:rPr>
              <w:t>$1,000 total — $500 at approval and $500 at the end of month 3</w:t>
            </w:r>
          </w:p>
        </w:tc>
      </w:tr>
      <w:tr>
        <w:tc>
          <w:tcPr>
            <w:tcW w:type="dxa" w:w="2200"/>
            <w:shd w:fill="F8F8F5"/>
            <w:tcMar>
              <w:top w:w="120" w:type="dxa"/>
              <w:start w:w="150" w:type="dxa"/>
              <w:bottom w:w="120" w:type="dxa"/>
              <w:end w:w="150" w:type="dxa"/>
            </w:tcMar>
            <w:vAlign w:val="center"/>
          </w:tcPr>
          <w:p>
            <w:pPr>
              <w:spacing w:after="0" w:line="269" w:lineRule="auto"/>
            </w:pPr>
            <w:r>
              <w:rPr>
                <w:rFonts w:ascii="Public Sans" w:hAnsi="Public Sans"/>
                <w:b/>
                <w:i w:val="0"/>
                <w:color w:val="7D2A1D"/>
                <w:sz w:val="18"/>
              </w:rPr>
              <w:t>Media</w:t>
            </w:r>
          </w:p>
        </w:tc>
        <w:tc>
          <w:tcPr>
            <w:tcW w:type="dxa" w:w="7160"/>
            <w:shd w:fill="FFFFFF"/>
            <w:tcMar>
              <w:top w:w="120" w:type="dxa"/>
              <w:start w:w="150" w:type="dxa"/>
              <w:bottom w:w="120" w:type="dxa"/>
              <w:end w:w="150" w:type="dxa"/>
            </w:tcMar>
            <w:vAlign w:val="center"/>
          </w:tcPr>
          <w:p>
            <w:pPr>
              <w:spacing w:after="0" w:line="269" w:lineRule="auto"/>
            </w:pPr>
            <w:r>
              <w:rPr>
                <w:rFonts w:ascii="Public Sans" w:hAnsi="Public Sans"/>
                <w:b w:val="0"/>
                <w:i w:val="0"/>
                <w:color w:val="111111"/>
                <w:sz w:val="18"/>
              </w:rPr>
              <w:t>Approx. $10/day, paid directly to Meta</w:t>
            </w:r>
          </w:p>
        </w:tc>
      </w:tr>
      <w:tr>
        <w:tc>
          <w:tcPr>
            <w:tcW w:type="dxa" w:w="2200"/>
            <w:shd w:fill="F8F8F5"/>
            <w:tcMar>
              <w:top w:w="120" w:type="dxa"/>
              <w:start w:w="150" w:type="dxa"/>
              <w:bottom w:w="120" w:type="dxa"/>
              <w:end w:w="150" w:type="dxa"/>
            </w:tcMar>
            <w:vAlign w:val="center"/>
          </w:tcPr>
          <w:p>
            <w:pPr>
              <w:spacing w:after="0" w:line="269" w:lineRule="auto"/>
            </w:pPr>
            <w:r>
              <w:rPr>
                <w:rFonts w:ascii="Public Sans" w:hAnsi="Public Sans"/>
                <w:b/>
                <w:i w:val="0"/>
                <w:color w:val="7D2A1D"/>
                <w:sz w:val="18"/>
              </w:rPr>
              <w:t>Target launch</w:t>
            </w:r>
          </w:p>
        </w:tc>
        <w:tc>
          <w:tcPr>
            <w:tcW w:type="dxa" w:w="7160"/>
            <w:shd w:fill="FFFFFF"/>
            <w:tcMar>
              <w:top w:w="120" w:type="dxa"/>
              <w:start w:w="150" w:type="dxa"/>
              <w:bottom w:w="120" w:type="dxa"/>
              <w:end w:w="150" w:type="dxa"/>
            </w:tcMar>
            <w:vAlign w:val="center"/>
          </w:tcPr>
          <w:p>
            <w:pPr>
              <w:spacing w:after="0" w:line="269" w:lineRule="auto"/>
            </w:pPr>
            <w:r>
              <w:rPr>
                <w:rFonts w:ascii="Public Sans" w:hAnsi="Public Sans"/>
                <w:b w:val="0"/>
                <w:i w:val="0"/>
                <w:color w:val="111111"/>
                <w:sz w:val="18"/>
              </w:rPr>
              <w:t>Within approximately 15 business days after access and assets are received</w:t>
            </w:r>
          </w:p>
        </w:tc>
      </w:tr>
      <w:tr>
        <w:tc>
          <w:tcPr>
            <w:tcW w:type="dxa" w:w="2200"/>
            <w:shd w:fill="F8F8F5"/>
            <w:tcMar>
              <w:top w:w="120" w:type="dxa"/>
              <w:start w:w="150" w:type="dxa"/>
              <w:bottom w:w="120" w:type="dxa"/>
              <w:end w:w="150" w:type="dxa"/>
            </w:tcMar>
            <w:vAlign w:val="center"/>
          </w:tcPr>
          <w:p>
            <w:pPr>
              <w:spacing w:after="0" w:line="269" w:lineRule="auto"/>
            </w:pPr>
            <w:r>
              <w:rPr>
                <w:rFonts w:ascii="Public Sans" w:hAnsi="Public Sans"/>
                <w:b/>
                <w:i w:val="0"/>
                <w:color w:val="7D2A1D"/>
                <w:sz w:val="18"/>
              </w:rPr>
              <w:t>True Diamond Finish</w:t>
            </w:r>
          </w:p>
        </w:tc>
        <w:tc>
          <w:tcPr>
            <w:tcW w:type="dxa" w:w="7160"/>
            <w:shd w:fill="FFFFFF"/>
            <w:tcMar>
              <w:top w:w="120" w:type="dxa"/>
              <w:start w:w="150" w:type="dxa"/>
              <w:bottom w:w="120" w:type="dxa"/>
              <w:end w:w="150" w:type="dxa"/>
            </w:tcMar>
            <w:vAlign w:val="center"/>
          </w:tcPr>
          <w:p>
            <w:pPr>
              <w:spacing w:after="0" w:line="269" w:lineRule="auto"/>
            </w:pPr>
            <w:r>
              <w:rPr>
                <w:rFonts w:ascii="Public Sans" w:hAnsi="Public Sans"/>
                <w:b w:val="0"/>
                <w:i w:val="0"/>
                <w:color w:val="111111"/>
                <w:sz w:val="18"/>
              </w:rPr>
              <w:t>Name / signature / date: __________________________________________</w:t>
            </w:r>
          </w:p>
        </w:tc>
      </w:tr>
      <w:tr>
        <w:tc>
          <w:tcPr>
            <w:tcW w:type="dxa" w:w="2200"/>
            <w:shd w:fill="F8F8F5"/>
            <w:tcMar>
              <w:top w:w="120" w:type="dxa"/>
              <w:start w:w="150" w:type="dxa"/>
              <w:bottom w:w="120" w:type="dxa"/>
              <w:end w:w="150" w:type="dxa"/>
            </w:tcMar>
            <w:vAlign w:val="center"/>
          </w:tcPr>
          <w:p>
            <w:pPr>
              <w:spacing w:after="0" w:line="269" w:lineRule="auto"/>
            </w:pPr>
            <w:r>
              <w:rPr>
                <w:rFonts w:ascii="Public Sans" w:hAnsi="Public Sans"/>
                <w:b/>
                <w:i w:val="0"/>
                <w:color w:val="7D2A1D"/>
                <w:sz w:val="18"/>
              </w:rPr>
              <w:t>Autopilots &amp; Smartleads</w:t>
            </w:r>
          </w:p>
        </w:tc>
        <w:tc>
          <w:tcPr>
            <w:tcW w:type="dxa" w:w="7160"/>
            <w:shd w:fill="FFFFFF"/>
            <w:tcMar>
              <w:top w:w="120" w:type="dxa"/>
              <w:start w:w="150" w:type="dxa"/>
              <w:bottom w:w="120" w:type="dxa"/>
              <w:end w:w="150" w:type="dxa"/>
            </w:tcMar>
            <w:vAlign w:val="center"/>
          </w:tcPr>
          <w:p>
            <w:pPr>
              <w:spacing w:after="0" w:line="269" w:lineRule="auto"/>
            </w:pPr>
            <w:r>
              <w:rPr>
                <w:rFonts w:ascii="Public Sans" w:hAnsi="Public Sans"/>
                <w:b w:val="0"/>
                <w:i w:val="0"/>
                <w:color w:val="111111"/>
                <w:sz w:val="18"/>
              </w:rPr>
              <w:t>Name / signature / date: __________________________________________</w:t>
            </w:r>
          </w:p>
        </w:tc>
      </w:tr>
    </w:tbl>
    <w:p>
      <w:pPr>
        <w:spacing w:after="320"/>
      </w:pPr>
    </w:p>
    <w:p>
      <w:pPr>
        <w:spacing w:after="100"/>
        <w:jc w:val="center"/>
      </w:pPr>
      <w:r>
        <w:rPr>
          <w:rFonts w:ascii="Public Sans" w:hAnsi="Public Sans"/>
          <w:b/>
          <w:i w:val="0"/>
          <w:color w:val="111111"/>
          <w:sz w:val="26"/>
        </w:rPr>
        <w:t>Build the system. Measure the truth. Scale what works.</w:t>
      </w:r>
    </w:p>
    <w:p>
      <w:pPr>
        <w:jc w:val="center"/>
      </w:pPr>
      <w:r>
        <w:rPr>
          <w:rFonts w:ascii="Syne" w:hAnsi="Syne"/>
          <w:b/>
          <w:i w:val="0"/>
          <w:color w:val="9F3826"/>
          <w:sz w:val="18"/>
        </w:rPr>
        <w:t>Autopilots × Smartleads</w:t>
      </w:r>
    </w:p>
    <w:sectPr w:rsidR="00FC693F" w:rsidRPr="0006063C" w:rsidSect="00034616">
      <w:headerReference w:type="default" r:id="rId9"/>
      <w:footerReference w:type="default" r:id="rId10"/>
      <w:pgSz w:w="12240" w:h="15840"/>
      <w:pgMar w:top="1152"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yne" w:hAnsi="Syne"/>
        <w:b/>
        <w:i w:val="0"/>
        <w:color w:val="656565"/>
        <w:sz w:val="16"/>
      </w:rPr>
      <w:t xml:space="preserve">90-DAY GROWTH PILOT   •   </w:t>
    </w:r>
    <w:r>
      <w:rPr>
        <w:rFonts w:ascii="Public Sans" w:hAnsi="Public Sans"/>
        <w:b w:val="0"/>
        <w:i w:val="0"/>
        <w:color w:val="65656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Syne" w:hAnsi="Syne"/>
        <w:b/>
        <w:i w:val="0"/>
        <w:color w:val="9F3826"/>
        <w:sz w:val="17"/>
      </w:rPr>
      <w:t>AUTOPILOTS × SMARTLEADS</w:t>
    </w:r>
    <w:r>
      <w:rPr>
        <w:rFonts w:ascii="Public Sans" w:hAnsi="Public Sans"/>
        <w:b/>
        <w:i w:val="0"/>
        <w:color w:val="656565"/>
        <w:sz w:val="17"/>
      </w:rPr>
      <w:t xml:space="preserve">  |  TRUE DIAMOND FINISH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Public Sans" w:hAnsi="Public San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Public Sans" w:hAnsi="Public Sans"/>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Public Sans" w:hAnsi="Public Sans"/>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ublic Sans" w:hAnsi="Public Sans"/>
      <w:b/>
      <w:bCs/>
      <w:color w:val="7D2A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Public Sans" w:hAnsi="Public Sans"/>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Public Sans" w:hAnsi="Public Sans"/>
      <w:b w:val="0"/>
      <w:i/>
      <w:iCs/>
      <w:color w:val="65656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Public Sans" w:hAnsi="Public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Public Sans" w:hAnsi="Public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 Diamond Finish — 90-Day Growth Pilot</dc:title>
  <dc:subject>Local Meta advertising, landing page and CRM pilot</dc:subject>
  <dc:creator>Autopilots &amp; Smartleads</dc:creator>
  <cp:keywords>True Diamond Finish, Autopilots, Smartleads, Meta Ads, CRM, landing page</cp:keywords>
  <dc:description>generated by python-docx</dc:description>
  <cp:lastModifiedBy/>
  <cp:revision>1</cp:revision>
  <dcterms:created xsi:type="dcterms:W3CDTF">2013-12-23T23:15:00Z</dcterms:created>
  <dcterms:modified xsi:type="dcterms:W3CDTF">2013-12-23T23:15:00Z</dcterms:modified>
  <cp:category/>
</cp:coreProperties>
</file>