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A5C" w:sz="6" w:space="8"/>
        </w:pBdr>
        <w:spacing w:after="200"/>
        <w:jc w:val="center"/>
      </w:pPr>
      <w:r>
        <w:rPr>
          <w:rFonts w:ascii="Arial" w:cs="Arial" w:eastAsia="Arial" w:hAnsi="Arial"/>
          <w:b/>
          <w:bCs/>
          <w:color w:val="1A3A5C"/>
          <w:sz w:val="36"/>
          <w:szCs w:val="36"/>
        </w:rPr>
        <w:t xml:space="preserve">GOVERNANCE BRIEFING MEMORANDUM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60"/>
              <w:left w:type="dxa" w:w="100"/>
              <w:bottom w:type="dxa" w:w="60"/>
              <w:right w:type="dxa" w:w="100"/>
            </w:tcMar>
          </w:tcPr>
          <w:p>
            <w:r>
              <w:rPr>
                <w:rFonts w:ascii="Arial" w:cs="Arial" w:eastAsia="Arial" w:hAnsi="Arial"/>
                <w:b/>
                <w:bCs/>
                <w:color w:val="1A3A5C"/>
                <w:sz w:val="22"/>
                <w:szCs w:val="22"/>
              </w:rPr>
              <w:t xml:space="preserve">TO:</w:t>
            </w:r>
          </w:p>
        </w:tc>
        <w:tc>
          <w:tcPr>
            <w:tcW w:type="dxa" w:w="7760"/>
            <w:tcBorders>
              <w:top w:val="none"/>
              <w:left w:val="none"/>
              <w:bottom w:val="none"/>
              <w:right w:val="none"/>
            </w:tcBorders>
            <w:tcMar>
              <w:top w:type="dxa" w:w="60"/>
              <w:left w:type="dxa" w:w="100"/>
              <w:bottom w:type="dxa" w:w="60"/>
              <w:right w:type="dxa" w:w="100"/>
            </w:tcMar>
          </w:tcPr>
          <w:p>
            <w:r>
              <w:rPr>
                <w:rFonts w:ascii="Arial" w:cs="Arial" w:eastAsia="Arial" w:hAnsi="Arial"/>
                <w:sz w:val="22"/>
                <w:szCs w:val="22"/>
              </w:rPr>
              <w:t xml:space="preserve">ISS Governance Research Division — U.S. Large Cap Coverage</w:t>
            </w:r>
          </w:p>
        </w:tc>
      </w:tr>
      <w:tr>
        <w:tc>
          <w:tcPr>
            <w:tcW w:type="dxa" w:w="1600"/>
            <w:tcBorders>
              <w:top w:val="none"/>
              <w:left w:val="none"/>
              <w:bottom w:val="none"/>
              <w:right w:val="none"/>
            </w:tcBorders>
            <w:tcMar>
              <w:top w:type="dxa" w:w="60"/>
              <w:left w:type="dxa" w:w="100"/>
              <w:bottom w:type="dxa" w:w="60"/>
              <w:right w:type="dxa" w:w="100"/>
            </w:tcMar>
          </w:tcPr>
          <w:p>
            <w:r>
              <w:rPr>
                <w:rFonts w:ascii="Arial" w:cs="Arial" w:eastAsia="Arial" w:hAnsi="Arial"/>
                <w:b/>
                <w:bCs/>
                <w:color w:val="1A3A5C"/>
                <w:sz w:val="22"/>
                <w:szCs w:val="22"/>
              </w:rPr>
              <w:t xml:space="preserve">FROM:</w:t>
            </w:r>
          </w:p>
        </w:tc>
        <w:tc>
          <w:tcPr>
            <w:tcW w:type="dxa" w:w="7760"/>
            <w:tcBorders>
              <w:top w:val="none"/>
              <w:left w:val="none"/>
              <w:bottom w:val="none"/>
              <w:right w:val="none"/>
            </w:tcBorders>
            <w:tcMar>
              <w:top w:type="dxa" w:w="60"/>
              <w:left w:type="dxa" w:w="100"/>
              <w:bottom w:type="dxa" w:w="60"/>
              <w:right w:type="dxa" w:w="100"/>
            </w:tcMar>
          </w:tcPr>
          <w:p>
            <w:r>
              <w:rPr>
                <w:rFonts w:ascii="Arial" w:cs="Arial" w:eastAsia="Arial" w:hAnsi="Arial"/>
                <w:sz w:val="22"/>
                <w:szCs w:val="22"/>
              </w:rPr>
              <w:t xml:space="preserve">JLAW Forensic Intelligence Platform</w:t>
            </w:r>
          </w:p>
        </w:tc>
      </w:tr>
      <w:tr>
        <w:tc>
          <w:tcPr>
            <w:tcW w:type="dxa" w:w="1600"/>
            <w:tcBorders>
              <w:top w:val="none"/>
              <w:left w:val="none"/>
              <w:bottom w:val="none"/>
              <w:right w:val="none"/>
            </w:tcBorders>
            <w:tcMar>
              <w:top w:type="dxa" w:w="60"/>
              <w:left w:type="dxa" w:w="100"/>
              <w:bottom w:type="dxa" w:w="60"/>
              <w:right w:type="dxa" w:w="100"/>
            </w:tcMar>
          </w:tcPr>
          <w:p>
            <w:r>
              <w:rPr>
                <w:rFonts w:ascii="Arial" w:cs="Arial" w:eastAsia="Arial" w:hAnsi="Arial"/>
                <w:b/>
                <w:bCs/>
                <w:color w:val="1A3A5C"/>
                <w:sz w:val="22"/>
                <w:szCs w:val="22"/>
              </w:rPr>
              <w:t xml:space="preserve">DATE:</w:t>
            </w:r>
          </w:p>
        </w:tc>
        <w:tc>
          <w:tcPr>
            <w:tcW w:type="dxa" w:w="7760"/>
            <w:tcBorders>
              <w:top w:val="none"/>
              <w:left w:val="none"/>
              <w:bottom w:val="none"/>
              <w:right w:val="none"/>
            </w:tcBorders>
            <w:tcMar>
              <w:top w:type="dxa" w:w="60"/>
              <w:left w:type="dxa" w:w="100"/>
              <w:bottom w:type="dxa" w:w="60"/>
              <w:right w:type="dxa" w:w="100"/>
            </w:tcMar>
          </w:tcPr>
          <w:p>
            <w:r>
              <w:rPr>
                <w:rFonts w:ascii="Arial" w:cs="Arial" w:eastAsia="Arial" w:hAnsi="Arial"/>
                <w:sz w:val="22"/>
                <w:szCs w:val="22"/>
              </w:rPr>
              <w:t xml:space="preserve">March 6, 2026</w:t>
            </w:r>
          </w:p>
        </w:tc>
      </w:tr>
      <w:tr>
        <w:tc>
          <w:tcPr>
            <w:tcW w:type="dxa" w:w="1600"/>
            <w:tcBorders>
              <w:top w:val="none"/>
              <w:left w:val="none"/>
              <w:bottom w:val="none"/>
              <w:right w:val="none"/>
            </w:tcBorders>
            <w:tcMar>
              <w:top w:type="dxa" w:w="60"/>
              <w:left w:type="dxa" w:w="100"/>
              <w:bottom w:type="dxa" w:w="60"/>
              <w:right w:type="dxa" w:w="100"/>
            </w:tcMar>
          </w:tcPr>
          <w:p>
            <w:r>
              <w:rPr>
                <w:rFonts w:ascii="Arial" w:cs="Arial" w:eastAsia="Arial" w:hAnsi="Arial"/>
                <w:b/>
                <w:bCs/>
                <w:color w:val="1A3A5C"/>
                <w:sz w:val="22"/>
                <w:szCs w:val="22"/>
              </w:rPr>
              <w:t xml:space="preserve">RE:</w:t>
            </w:r>
          </w:p>
        </w:tc>
        <w:tc>
          <w:tcPr>
            <w:tcW w:type="dxa" w:w="7760"/>
            <w:tcBorders>
              <w:top w:val="none"/>
              <w:left w:val="none"/>
              <w:bottom w:val="none"/>
              <w:right w:val="none"/>
            </w:tcBorders>
            <w:tcMar>
              <w:top w:type="dxa" w:w="60"/>
              <w:left w:type="dxa" w:w="100"/>
              <w:bottom w:type="dxa" w:w="60"/>
              <w:right w:type="dxa" w:w="100"/>
            </w:tcMar>
          </w:tcPr>
          <w:p>
            <w:r>
              <w:rPr>
                <w:rFonts w:ascii="Arial" w:cs="Arial" w:eastAsia="Arial" w:hAnsi="Arial"/>
                <w:b/>
                <w:bCs/>
                <w:sz w:val="22"/>
                <w:szCs w:val="22"/>
              </w:rPr>
              <w:t xml:space="preserve">Undisclosed Cross-Directorship Conflicts: Nike Inc. Board Members Serving as Swoosh LLC Independent Directors</w:t>
            </w:r>
          </w:p>
        </w:tc>
      </w:tr>
      <w:tr>
        <w:tc>
          <w:tcPr>
            <w:tcW w:type="dxa" w:w="1600"/>
            <w:tcBorders>
              <w:top w:val="none"/>
              <w:left w:val="none"/>
              <w:bottom w:val="none"/>
              <w:right w:val="none"/>
            </w:tcBorders>
            <w:tcMar>
              <w:top w:type="dxa" w:w="60"/>
              <w:left w:type="dxa" w:w="100"/>
              <w:bottom w:type="dxa" w:w="60"/>
              <w:right w:type="dxa" w:w="100"/>
            </w:tcMar>
          </w:tcPr>
          <w:p>
            <w:r>
              <w:rPr>
                <w:rFonts w:ascii="Arial" w:cs="Arial" w:eastAsia="Arial" w:hAnsi="Arial"/>
                <w:b/>
                <w:bCs/>
                <w:color w:val="1A3A5C"/>
                <w:sz w:val="22"/>
                <w:szCs w:val="22"/>
              </w:rPr>
              <w:t xml:space="preserve">COMPANY:</w:t>
            </w:r>
          </w:p>
        </w:tc>
        <w:tc>
          <w:tcPr>
            <w:tcW w:type="dxa" w:w="7760"/>
            <w:tcBorders>
              <w:top w:val="none"/>
              <w:left w:val="none"/>
              <w:bottom w:val="none"/>
              <w:right w:val="none"/>
            </w:tcBorders>
            <w:tcMar>
              <w:top w:type="dxa" w:w="60"/>
              <w:left w:type="dxa" w:w="100"/>
              <w:bottom w:type="dxa" w:w="60"/>
              <w:right w:type="dxa" w:w="100"/>
            </w:tcMar>
          </w:tcPr>
          <w:p>
            <w:r>
              <w:rPr>
                <w:rFonts w:ascii="Arial" w:cs="Arial" w:eastAsia="Arial" w:hAnsi="Arial"/>
                <w:sz w:val="22"/>
                <w:szCs w:val="22"/>
              </w:rPr>
              <w:t xml:space="preserve">Nike, Inc. (NYSE: NKE) | CIK 0000320187 | S&amp;P 500 Component</w:t>
            </w:r>
          </w:p>
        </w:tc>
      </w:tr>
    </w:tbl>
    <w:p>
      <w:pPr>
        <w:pBdr>
          <w:bottom w:val="single" w:color="1A3A5C" w:sz="2" w:space="8"/>
        </w:pBdr>
        <w:spacing w:before="200"/>
      </w:pPr>
    </w:p>
    <w:p>
      <w:pPr>
        <w:pStyle w:val="Heading1"/>
      </w:pPr>
      <w:r>
        <w:t xml:space="preserve">Issue Summary</w:t>
      </w:r>
    </w:p>
    <w:p>
      <w:pPr>
        <w:spacing w:before="0" w:after="120"/>
      </w:pPr>
      <w:r>
        <w:rPr>
          <w:rFonts w:ascii="Arial" w:cs="Arial" w:eastAsia="Arial" w:hAnsi="Arial"/>
          <w:b w:val="false"/>
          <w:bCs w:val="false"/>
          <w:i w:val="false"/>
          <w:iCs w:val="false"/>
          <w:color w:val="1A1A1A"/>
          <w:sz w:val="22"/>
          <w:szCs w:val="22"/>
        </w:rPr>
        <w:t xml:space="preserve">Three senior Nike insiders simultaneously served as “Independent Directors” on the board of Swoosh LLC, the Knight family entity that controls approximately 245 million Class A common shares (77.7% of the class, representing approximately 97% of total voting power). This cross-directorship arrangement is not disclosed as a conflict of interest in any Nike proxy statement reviewed (FY2018 through FY2022). The arrangement creates a structural governance conflict where Nike’s own board members are responsible for overseeing the entity that controls Nike’s vote, while simultaneously owing fiduciary duties to Nike’s public shareholders.</w:t>
      </w:r>
    </w:p>
    <w:p>
      <w:pPr>
        <w:pStyle w:val="Heading1"/>
      </w:pPr>
      <w:r>
        <w:t xml:space="preserve">The Swoosh LLC Governance Structure</w:t>
      </w:r>
    </w:p>
    <w:p>
      <w:pPr>
        <w:spacing w:before="0" w:after="120"/>
      </w:pPr>
      <w:r>
        <w:rPr>
          <w:rFonts w:ascii="Arial" w:cs="Arial" w:eastAsia="Arial" w:hAnsi="Arial"/>
          <w:b w:val="false"/>
          <w:bCs w:val="false"/>
          <w:i w:val="false"/>
          <w:iCs w:val="false"/>
          <w:color w:val="1A1A1A"/>
          <w:sz w:val="22"/>
          <w:szCs w:val="22"/>
        </w:rPr>
        <w:t xml:space="preserve">Nike’s dual-class share structure divides voting power between Class A shares (one vote per share, not publicly traded) and Class B shares (one vote per share, publicly traded as NKE). Philip Knight, Nike’s co-founder, transferred his Class A holdings into Swoosh LLC in 2015 as part of a planned succession. The Swoosh LLC operating agreement, filed as part of a Schedule 13D with the SEC (accession 0000897423-15-000038), establishes a five-vote governance board: two votes are controlled by the Travis A. Knight 2009 Irrevocable Trust II (Philip Knight’s son), and three votes are held by “Independent Directors” appointed from Nike’s board.</w:t>
      </w:r>
    </w:p>
    <w:p>
      <w:pPr>
        <w:spacing w:before="120" w:after="120"/>
      </w:pPr>
      <w:r>
        <w:rPr>
          <w:rFonts w:ascii="Arial" w:cs="Arial" w:eastAsia="Arial" w:hAnsi="Arial"/>
          <w:b w:val="false"/>
          <w:bCs w:val="false"/>
          <w:i w:val="false"/>
          <w:iCs w:val="false"/>
          <w:color w:val="1A1A1A"/>
          <w:sz w:val="22"/>
          <w:szCs w:val="22"/>
        </w:rPr>
        <w:t xml:space="preserve">During the FY2019–2020 period under review, the three Swoosh LLC Independent Directors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80"/>
        <w:gridCol w:w="2180"/>
      </w:tblGrid>
      <w:tr>
        <w:tc>
          <w:tcPr>
            <w:tcW w:type="dxa" w:w="200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300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NIKE ROLE</w:t>
            </w:r>
          </w:p>
        </w:tc>
        <w:tc>
          <w:tcPr>
            <w:tcW w:type="dxa" w:w="218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SWOOSH ROLE</w:t>
            </w:r>
          </w:p>
        </w:tc>
        <w:tc>
          <w:tcPr>
            <w:tcW w:type="dxa" w:w="218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CONFLICT INDICATOR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Mark G. Parker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Chairman, President &amp; CEO (through Jan 2020); Executive Chairman (from Jan 2020)</w:t>
            </w:r>
          </w:p>
        </w:tc>
        <w:tc>
          <w:tcPr>
            <w:tcW w:type="dxa" w:w="21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Independent Director (1 of 3 votes)</w:t>
            </w:r>
          </w:p>
        </w:tc>
        <w:tc>
          <w:tcPr>
            <w:tcW w:type="dxa" w:w="21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CEO of company controlled by entity he governs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Alan B. Graf Jr.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Independent Director; Chair, Audit &amp; Finance Committee; designated audit committee financial expert</w:t>
            </w:r>
          </w:p>
        </w:tc>
        <w:tc>
          <w:tcPr>
            <w:tcW w:type="dxa" w:w="21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Independent Director (1 of 3 votes)</w:t>
            </w:r>
          </w:p>
        </w:tc>
        <w:tc>
          <w:tcPr>
            <w:tcW w:type="dxa" w:w="21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Audit Chair overseeing entity whose controller he also governs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John J. Donahoe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Independent Director (through Jan 2020); President &amp; CEO (from Jan 2020)</w:t>
            </w:r>
          </w:p>
        </w:tc>
        <w:tc>
          <w:tcPr>
            <w:tcW w:type="dxa" w:w="21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Independent Director (1 of 3 votes)</w:t>
            </w:r>
          </w:p>
        </w:tc>
        <w:tc>
          <w:tcPr>
            <w:tcW w:type="dxa" w:w="21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Named CEO while already governing controller entity</w:t>
            </w:r>
          </w:p>
        </w:tc>
      </w:tr>
    </w:tbl>
    <w:p>
      <w:pPr>
        <w:spacing w:before="200" w:after="120"/>
      </w:pPr>
      <w:r>
        <w:rPr>
          <w:rFonts w:ascii="Arial" w:cs="Arial" w:eastAsia="Arial" w:hAnsi="Arial"/>
          <w:b w:val="false"/>
          <w:bCs w:val="false"/>
          <w:i w:val="false"/>
          <w:iCs w:val="false"/>
          <w:color w:val="1A1A1A"/>
          <w:sz w:val="22"/>
          <w:szCs w:val="22"/>
        </w:rPr>
        <w:t xml:space="preserve">The operating agreement includes a conflict provision stating that when any Swoosh Independent Director has conflicting duties to both Nike and Swoosh, their duty to Nike and its public shareholders “shall supersede” any duty to Swoosh. However, this provision is self-policing — the conflicted director is the one who determines when a conflict exists.</w:t>
      </w:r>
    </w:p>
    <w:p>
      <w:pPr>
        <w:pStyle w:val="Heading1"/>
      </w:pPr>
      <w:r>
        <w:t xml:space="preserve">ISS Independence Classification Implications</w:t>
      </w:r>
    </w:p>
    <w:p>
      <w:pPr>
        <w:pStyle w:val="Heading2"/>
      </w:pPr>
      <w:r>
        <w:t xml:space="preserve">Alan Graf Jr. — Current Classification: Independent</w:t>
      </w:r>
    </w:p>
    <w:p>
      <w:pPr>
        <w:spacing w:before="0" w:after="120"/>
      </w:pPr>
      <w:r>
        <w:rPr>
          <w:rFonts w:ascii="Arial" w:cs="Arial" w:eastAsia="Arial" w:hAnsi="Arial"/>
          <w:b w:val="false"/>
          <w:bCs w:val="false"/>
          <w:i w:val="false"/>
          <w:iCs w:val="false"/>
          <w:color w:val="1A1A1A"/>
          <w:sz w:val="22"/>
          <w:szCs w:val="22"/>
        </w:rPr>
        <w:t xml:space="preserve">Graf’s dual role is the most significant from an ISS governance perspective. He simultaneously chaired Nike’s Audit &amp; Finance Committee and served as one of three voting members governing the entity that controls Nike’s shareholder vote. Under ISS guidelines, audit committee independence is evaluated based on whether directors have relationships with the company or its affiliates that could compromise independent judgment. Graf’s position on the Swoosh LLC board creates a relationship with Nike’s controlling shareholder entity that is not disclosed in the proxy and therefore not evaluated by ISS.</w:t>
      </w:r>
    </w:p>
    <w:p>
      <w:pPr>
        <w:spacing w:before="0" w:after="120"/>
      </w:pPr>
      <w:r>
        <w:rPr>
          <w:rFonts w:ascii="Arial" w:cs="Arial" w:eastAsia="Arial" w:hAnsi="Arial"/>
          <w:b w:val="false"/>
          <w:bCs w:val="false"/>
          <w:i w:val="false"/>
          <w:iCs w:val="false"/>
          <w:color w:val="1A1A1A"/>
          <w:sz w:val="22"/>
          <w:szCs w:val="22"/>
        </w:rPr>
        <w:t xml:space="preserve">Nike’s proxy identifies Graf’s external directorships (FedEx Corporation, where he serves as CFO) but does not list the Swoosh LLC directorship. Under ISS’s overboarding policy and independence criteria, this omission prevents ISS from evaluating whether Graf’s Swoosh role constitutes a material relationship with a significant shareholder.</w:t>
      </w:r>
    </w:p>
    <w:p>
      <w:pPr>
        <w:pStyle w:val="Heading2"/>
      </w:pPr>
      <w:r>
        <w:t xml:space="preserve">Mark Parker — Classification: Non-Independent (Management)</w:t>
      </w:r>
    </w:p>
    <w:p>
      <w:pPr>
        <w:spacing w:before="0" w:after="120"/>
      </w:pPr>
      <w:r>
        <w:rPr>
          <w:rFonts w:ascii="Arial" w:cs="Arial" w:eastAsia="Arial" w:hAnsi="Arial"/>
          <w:b w:val="false"/>
          <w:bCs w:val="false"/>
          <w:i w:val="false"/>
          <w:iCs w:val="false"/>
          <w:color w:val="1A1A1A"/>
          <w:sz w:val="22"/>
          <w:szCs w:val="22"/>
        </w:rPr>
        <w:t xml:space="preserve">Parker is already classified as non-independent by virtue of his management role. However, his Swoosh directorship adds a dimension not captured in the current ISS profile: as CEO, Parker governed the entity that controlled the shareholder vote on his own compensation, board nominations, and strategic decisions. After transitioning to Executive Chairman in January 2020, Parker retained his Swoosh directorship while simultaneously being subject to shareholder votes on his Executive Chairman compensation package.</w:t>
      </w:r>
    </w:p>
    <w:p>
      <w:pPr>
        <w:pStyle w:val="Heading2"/>
      </w:pPr>
      <w:r>
        <w:t xml:space="preserve">John Donahoe — Classification Transition</w:t>
      </w:r>
    </w:p>
    <w:p>
      <w:pPr>
        <w:spacing w:before="0" w:after="120"/>
      </w:pPr>
      <w:r>
        <w:rPr>
          <w:rFonts w:ascii="Arial" w:cs="Arial" w:eastAsia="Arial" w:hAnsi="Arial"/>
          <w:b w:val="false"/>
          <w:bCs w:val="false"/>
          <w:i w:val="false"/>
          <w:iCs w:val="false"/>
          <w:color w:val="1A1A1A"/>
          <w:sz w:val="22"/>
          <w:szCs w:val="22"/>
        </w:rPr>
        <w:t xml:space="preserve">Donahoe was classified as an independent director on Nike’s board when he was named to the Swoosh LLC board. His subsequent appointment as CEO in January 2020 created a unique situation: he was already governing the controlling shareholder entity when he became CEO of the controlled company. The proxy’s succession narrative does not address whether Donahoe’s pre-existing Swoosh role influenced the board’s selection process.</w:t>
      </w:r>
    </w:p>
    <w:p>
      <w:r>
        <w:br w:type="page"/>
      </w:r>
    </w:p>
    <w:p>
      <w:pPr>
        <w:pStyle w:val="Heading1"/>
      </w:pPr>
      <w:r>
        <w:t xml:space="preserve">Disclosure Gap Analysis</w:t>
      </w:r>
    </w:p>
    <w:p>
      <w:pPr>
        <w:spacing w:before="0" w:after="120"/>
      </w:pPr>
      <w:r>
        <w:rPr>
          <w:rFonts w:ascii="Arial" w:cs="Arial" w:eastAsia="Arial" w:hAnsi="Arial"/>
          <w:b w:val="false"/>
          <w:bCs w:val="false"/>
          <w:i w:val="false"/>
          <w:iCs w:val="false"/>
          <w:color w:val="1A1A1A"/>
          <w:sz w:val="22"/>
          <w:szCs w:val="22"/>
        </w:rPr>
        <w:t xml:space="preserve">The following table maps where the Swoosh LLC cross-directorship information appears in SEC filings versus where it is absent from proxy disclosures: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INFORMATION</w:t>
            </w:r>
          </w:p>
        </w:tc>
        <w:tc>
          <w:tcPr>
            <w:tcW w:type="dxa" w:w="312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DISCLOSED IN</w:t>
            </w:r>
          </w:p>
        </w:tc>
        <w:tc>
          <w:tcPr>
            <w:tcW w:type="dxa" w:w="312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ABSENT FROM</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Swoosh LLC holds 245M Class A shares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Proxy: Beneficial Ownership Table; Schedule 13D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Parker, Graf, Donahoe are Swoosh Independent Directors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Schedule 13D (2015) and amendments only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All proxy statements FY2018–FY2022; director biographies; corporate governance sections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Swoosh Operating Agreement conflict provision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Schedule 13D Exhibit only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All proxy corporate governance sections; board independence determinations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Graf’s concurrent Swoosh + Nike Audit Committee roles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Cross-reference of 13D + proxy only (no single filing)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All proxy director biography sections; audit committee disclosures; independence determinations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Oct 31, 2019 Swoosh 10-share Class A→B conversion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Swoosh LLC Form 4 (0000320187-19-000077)</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B91C1C"/>
                <w:sz w:val="18"/>
                <w:szCs w:val="18"/>
              </w:rPr>
              <w:t xml:space="preserve">All proxy Related Party Transactions sections</w:t>
            </w:r>
          </w:p>
        </w:tc>
      </w:tr>
    </w:tbl>
    <w:p>
      <w:pPr>
        <w:pStyle w:val="Heading1"/>
      </w:pPr>
      <w:r>
        <w:t xml:space="preserve">Voting Power Implications for Proxy Advisory</w:t>
      </w:r>
    </w:p>
    <w:p>
      <w:pPr>
        <w:spacing w:before="0" w:after="120"/>
      </w:pPr>
      <w:r>
        <w:rPr>
          <w:rFonts w:ascii="Arial" w:cs="Arial" w:eastAsia="Arial" w:hAnsi="Arial"/>
          <w:b w:val="false"/>
          <w:bCs w:val="false"/>
          <w:i w:val="false"/>
          <w:iCs w:val="false"/>
          <w:color w:val="1A1A1A"/>
          <w:sz w:val="22"/>
          <w:szCs w:val="22"/>
        </w:rPr>
        <w:t xml:space="preserve">Nike’s dual-class structure means that no shareholder proposal can pass without Swoosh LLC support. The Knight family’s approximately 97% voting control through Swoosh ensures that say-on-pay votes, director elections, and governance proposals are effectively advisory only. ISS’s voting recommendations carry limited practical impact for Nike relative to other S&amp;P 500 companies.</w:t>
      </w:r>
    </w:p>
    <w:p>
      <w:pPr>
        <w:spacing w:before="0" w:after="120"/>
      </w:pPr>
      <w:r>
        <w:rPr>
          <w:rFonts w:ascii="Arial" w:cs="Arial" w:eastAsia="Arial" w:hAnsi="Arial"/>
          <w:b w:val="false"/>
          <w:bCs w:val="false"/>
          <w:i w:val="false"/>
          <w:iCs w:val="false"/>
          <w:color w:val="1A1A1A"/>
          <w:sz w:val="22"/>
          <w:szCs w:val="22"/>
        </w:rPr>
        <w:t xml:space="preserve">However, the undisclosed cross-directorship arrangement has implications that extend beyond voting outcomes. ISS’s governance ratings, independence assessments, and research reports inform institutional investor decisions about portfolio composition, engagement priorities, and governance risk scoring. If ISS is evaluating Nike’s board independence without knowledge of the Swoosh cross-directorships, its QualityScore and governance risk assessment may be materially incomplete.</w:t>
      </w:r>
    </w:p>
    <w:p>
      <w:pPr>
        <w:spacing w:before="0" w:after="120"/>
      </w:pPr>
      <w:r>
        <w:rPr>
          <w:rFonts w:ascii="Arial" w:cs="Arial" w:eastAsia="Arial" w:hAnsi="Arial"/>
          <w:b w:val="false"/>
          <w:bCs w:val="false"/>
          <w:i w:val="false"/>
          <w:iCs w:val="false"/>
          <w:color w:val="1A1A1A"/>
          <w:sz w:val="22"/>
          <w:szCs w:val="22"/>
        </w:rPr>
        <w:t xml:space="preserve">Specifically, the ISS QualityScore Board Structure pillar evaluates factors including director independence, board composition, and potential conflicts. The undisclosed Swoosh arrangement could affect Nike’s score on the following sub-factors: (1) whether independent directors have material relationships with significant shareholders; (2) whether the audit committee chair has undisclosed governance roles that could compromise audit oversight independence; and (3) whether the board’s CEO succession process was conducted by truly independent directors, given that two of the three Swoosh directors (Parker and Donahoe) were directly involved in the transition.</w:t>
      </w:r>
    </w:p>
    <w:p>
      <w:pPr>
        <w:pStyle w:val="Heading1"/>
      </w:pPr>
      <w:r>
        <w:t xml:space="preserve">Recommendations</w:t>
      </w:r>
    </w:p>
    <w:p>
      <w:pPr>
        <w:pStyle w:val="Heading2"/>
      </w:pPr>
      <w:r>
        <w:t xml:space="preserve">Immediate Actions</w:t>
      </w:r>
    </w:p>
    <w:p>
      <w:pPr>
        <w:spacing w:before="0" w:after="120"/>
      </w:pPr>
      <w:r>
        <w:rPr>
          <w:rFonts w:ascii="Arial" w:cs="Arial" w:eastAsia="Arial" w:hAnsi="Arial"/>
          <w:b w:val="false"/>
          <w:bCs w:val="false"/>
          <w:i w:val="false"/>
          <w:iCs w:val="false"/>
          <w:color w:val="1A1A1A"/>
          <w:sz w:val="22"/>
          <w:szCs w:val="22"/>
        </w:rPr>
        <w:t xml:space="preserve">First, ISS should update Nike’s director profiles to reflect the Swoosh LLC board memberships for Parker, Graf, and Donahoe. This information is publicly available in the Swoosh LLC Schedule 13D filing (accession 0000897423-15-000038) and has been confirmed through cross-referencing with Nike’s FY2020 proxy beneficial ownership tables.</w:t>
      </w:r>
    </w:p>
    <w:p>
      <w:pPr>
        <w:spacing w:before="0" w:after="120"/>
      </w:pPr>
      <w:r>
        <w:rPr>
          <w:rFonts w:ascii="Arial" w:cs="Arial" w:eastAsia="Arial" w:hAnsi="Arial"/>
          <w:b w:val="false"/>
          <w:bCs w:val="false"/>
          <w:i w:val="false"/>
          <w:iCs w:val="false"/>
          <w:color w:val="1A1A1A"/>
          <w:sz w:val="22"/>
          <w:szCs w:val="22"/>
        </w:rPr>
        <w:t xml:space="preserve">Second, ISS should reconsider Graf’s independence classification for the Audit &amp; Finance Committee in light of his concurrent Swoosh LLC directorship. While no ISS policy explicitly addresses cross-directorship with a controlled entity, the relationship constitutes an undisclosed material affiliation with Nike’s controlling shareholder.</w:t>
      </w:r>
    </w:p>
    <w:p>
      <w:pPr>
        <w:spacing w:before="0" w:after="120"/>
      </w:pPr>
      <w:r>
        <w:rPr>
          <w:rFonts w:ascii="Arial" w:cs="Arial" w:eastAsia="Arial" w:hAnsi="Arial"/>
          <w:b w:val="false"/>
          <w:bCs w:val="false"/>
          <w:i w:val="false"/>
          <w:iCs w:val="false"/>
          <w:color w:val="1A1A1A"/>
          <w:sz w:val="22"/>
          <w:szCs w:val="22"/>
        </w:rPr>
        <w:t xml:space="preserve">Third, ISS should flag the Swoosh cross-directorship in its Nike research report as a governance risk factor, noting that the arrangement is disclosed only in the Swoosh LLC 13D filing and not in any Nike proxy statement.</w:t>
      </w:r>
    </w:p>
    <w:p>
      <w:pPr>
        <w:pStyle w:val="Heading2"/>
      </w:pPr>
      <w:r>
        <w:t xml:space="preserve">Engagement Recommendation</w:t>
      </w:r>
    </w:p>
    <w:p>
      <w:pPr>
        <w:spacing w:before="0" w:after="120"/>
      </w:pPr>
      <w:r>
        <w:rPr>
          <w:rFonts w:ascii="Arial" w:cs="Arial" w:eastAsia="Arial" w:hAnsi="Arial"/>
          <w:b w:val="false"/>
          <w:bCs w:val="false"/>
          <w:i w:val="false"/>
          <w:iCs w:val="false"/>
          <w:color w:val="1A1A1A"/>
          <w:sz w:val="22"/>
          <w:szCs w:val="22"/>
        </w:rPr>
        <w:t xml:space="preserve">ISS should consider engaging Nike’s corporate secretary to request: (a) an explanation of why the Swoosh LLC directorships are not disclosed in the proxy’s director biographies or corporate governance section; (b) clarification of how the Swoosh operating agreement’s conflict provision has been implemented in practice, including any instances where a Swoosh director recused from a Nike board decision; and (c) whether Nike’s board has adopted any supplementary policies governing the Swoosh cross-directorship arrangement beyond the self-policing provision in the operating agreement.</w:t>
      </w:r>
    </w:p>
    <w:p>
      <w:pPr>
        <w:pStyle w:val="Heading2"/>
      </w:pPr>
      <w:r>
        <w:t xml:space="preserve">Policy Development</w:t>
      </w:r>
    </w:p>
    <w:p>
      <w:pPr>
        <w:spacing w:before="0" w:after="120"/>
      </w:pPr>
      <w:r>
        <w:rPr>
          <w:rFonts w:ascii="Arial" w:cs="Arial" w:eastAsia="Arial" w:hAnsi="Arial"/>
          <w:b w:val="false"/>
          <w:bCs w:val="false"/>
          <w:i w:val="false"/>
          <w:iCs w:val="false"/>
          <w:color w:val="1A1A1A"/>
          <w:sz w:val="22"/>
          <w:szCs w:val="22"/>
        </w:rPr>
        <w:t xml:space="preserve">This case illustrates a gap in ISS’s current governance framework: there is no systematic process for identifying director affiliations with controlled entities that fall outside traditional “interlocking directorship” definitions. ISS should consider developing a cross-reference methodology that checks directors of dual-class companies against Schedule 13D filings for the controlling entity. Nike is unlikely to be unique in this regard; any company with a family-controlled voting trust or LLC may have similar undisclosed cross-directorship arrangements.</w:t>
      </w:r>
    </w:p>
    <w:p>
      <w:r>
        <w:br w:type="page"/>
      </w:r>
    </w:p>
    <w:p>
      <w:pPr>
        <w:pStyle w:val="Heading1"/>
      </w:pPr>
      <w:r>
        <w:t xml:space="preserve">Appendix: SEC Filing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FILING TYPE</w:t>
            </w:r>
          </w:p>
        </w:tc>
        <w:tc>
          <w:tcPr>
            <w:tcW w:type="dxa" w:w="250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ACCESSION / URL</w:t>
            </w:r>
          </w:p>
        </w:tc>
        <w:tc>
          <w:tcPr>
            <w:tcW w:type="dxa" w:w="5060"/>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RELEVANCE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SC 13D</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0000897423-15-000038</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Swoosh LLC formation and governance structure; names Parker, Graf, Donahoe as Independent Directors; contains operating agreement with conflict provision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DEF 14A FY2019</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0000320187-19-000053</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Nike proxy — does NOT list Swoosh directorships in director bios; does NOT disclose cross-directorship as Related Party Transaction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DEF 14A FY2020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0000320187-20-000049</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Nike proxy — same omissions as FY2019; succession narrative does not address Donahoe’s pre-existing Swoosh role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Form 4 (Swoosh)</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0000320187-19-000077</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Oct 31, 2019 — 10-share Class A→B conversion filed by Swoosh LLC with Graf as reporting insider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8-K</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0000320187-19-000075</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Oct 22, 2019 CEO transition filing; Donahoe agreements; no mention of his existing Swoosh directorship</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color w:val="1A1A1A"/>
                <w:sz w:val="18"/>
                <w:szCs w:val="18"/>
              </w:rPr>
              <w:t xml:space="preserve">Exhibit 19.2</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Filed w/ FY2024 10-K</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Nike Insider Trading Policy — establishes blackout and pre-clearance framework but does not address Swoosh cross-directorship conflicts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4"/>
        <w:szCs w:val="14"/>
      </w:rPr>
      <w:t xml:space="preserve">Nike Inc. (NKE) — Swoosh LLC Cross-Directorship Analysis</w:t>
    </w:r>
    <w:r>
      <w:rPr>
        <w:rFonts w:ascii="Arial" w:cs="Arial" w:eastAsia="Arial" w:hAnsi="Arial"/>
        <w:color w:val="999999"/>
        <w:sz w:val="14"/>
        <w:szCs w:val="14"/>
      </w:rPr>
      <w:ptab w:alignment="right" w:relativeTo="margin" w:leader="none"/>
    </w: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pPr>
    <w:r>
      <w:rPr>
        <w:rFonts w:ascii="Arial" w:cs="Arial" w:eastAsia="Arial" w:hAnsi="Arial"/>
        <w:b/>
        <w:bCs/>
        <w:color w:val="1A3A5C"/>
        <w:sz w:val="16"/>
        <w:szCs w:val="16"/>
      </w:rPr>
      <w:t xml:space="preserve">ISS GOVERNANCE ALERT  |  CONFIDENTIAL BRIEFING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2026-03-07T03:55:39.216Z</dcterms:created>
  <dcterms:modified xsi:type="dcterms:W3CDTF">2026-03-07T03:55:39.218Z</dcterms:modified>
</cp:coreProperties>
</file>

<file path=docProps/custom.xml><?xml version="1.0" encoding="utf-8"?>
<Properties xmlns="http://schemas.openxmlformats.org/officeDocument/2006/custom-properties" xmlns:vt="http://schemas.openxmlformats.org/officeDocument/2006/docPropsVTypes"/>
</file>