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40"/>
          <w:szCs w:val="40"/>
        </w:rPr>
        <w:t xml:space="preserve">COMPARATIVE FORENSIC TIMELINE</w:t>
      </w:r>
    </w:p>
    <w:p>
      <w:pPr>
        <w:spacing w:after="40"/>
        <w:jc w:val="center"/>
      </w:pPr>
      <w:r>
        <w:rPr>
          <w:rFonts w:ascii="Arial" w:cs="Arial" w:eastAsia="Arial" w:hAnsi="Arial"/>
          <w:color w:val="4B5563"/>
          <w:sz w:val="24"/>
          <w:szCs w:val="24"/>
        </w:rPr>
        <w:t xml:space="preserve">Proxy Filings ↔ Form 4 Late Filings ↔ CEO Succession Signatures</w:t>
      </w:r>
    </w:p>
    <w:p>
      <w:pPr>
        <w:spacing w:after="200"/>
        <w:jc w:val="center"/>
      </w:pPr>
      <w:r>
        <w:rPr>
          <w:rFonts w:ascii="Arial" w:cs="Arial" w:eastAsia="Arial" w:hAnsi="Arial"/>
          <w:color w:val="6B7280"/>
          <w:sz w:val="20"/>
          <w:szCs w:val="20"/>
        </w:rPr>
        <w:t xml:space="preserve">Nike Inc. (NKE) | CIK 0000320187 | Fiscal Years 2019–2020 (ending May 31)</w:t>
      </w:r>
    </w:p>
    <w:p>
      <w:pPr>
        <w:pBdr>
          <w:bottom w:val="single" w:color="1B2A4A" w:sz="4" w:space="8"/>
        </w:pBdr>
        <w:spacing w:after="40"/>
        <w:jc w:val="center"/>
      </w:pPr>
      <w:r>
        <w:rPr>
          <w:rFonts w:ascii="Arial" w:cs="Arial" w:eastAsia="Arial" w:hAnsi="Arial"/>
          <w:i/>
          <w:iCs/>
          <w:color w:val="999999"/>
          <w:sz w:val="16"/>
          <w:szCs w:val="16"/>
        </w:rPr>
        <w:t xml:space="preserve">Generated: March 6, 2026  |  Classification: PRIVILEGED &amp; CONFIDENTIAL</w:t>
      </w:r>
    </w:p>
    <w:p>
      <w:pPr>
        <w:spacing w:before="200" w:after="100"/>
      </w:pPr>
      <w:r>
        <w:rPr>
          <w:rFonts w:ascii="Arial" w:cs="Arial" w:eastAsia="Arial" w:hAnsi="Arial"/>
          <w:b/>
          <w:bCs/>
          <w:color w:val="1B2A4A"/>
          <w:sz w:val="20"/>
          <w:szCs w:val="20"/>
        </w:rPr>
        <w:t xml:space="preserve">FLAG LEGEND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tblGrid>
      <w:tr>
        <w:tc>
          <w:tcPr>
            <w:tcW w:type="dxa" w:w="100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pPr>
              <w:jc w:val="center"/>
            </w:pPr>
            <w:r>
              <w:rPr>
                <w:rFonts w:ascii="Arial" w:cs="Arial" w:eastAsia="Arial" w:hAnsi="Arial"/>
                <w:b/>
                <w:bCs/>
                <w:color w:val="B91C1C"/>
                <w:sz w:val="16"/>
                <w:szCs w:val="16"/>
              </w:rPr>
              <w:t xml:space="preserve">RED</w:t>
            </w:r>
          </w:p>
        </w:tc>
        <w:tc>
          <w:tcPr>
            <w:tcW w:type="dxa" w:w="7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Material discrepancy or undisclosed anomaly requiring enforcement attention</w:t>
            </w:r>
          </w:p>
        </w:tc>
      </w:tr>
      <w:tr>
        <w:tc>
          <w:tcPr>
            <w:tcW w:type="dxa" w:w="1000"/>
            <w:tcBorders>
              <w:top w:val="single" w:color="999999" w:sz="1"/>
              <w:left w:val="single" w:color="999999" w:sz="1"/>
              <w:bottom w:val="single" w:color="999999" w:sz="1"/>
              <w:right w:val="single" w:color="999999" w:sz="1"/>
            </w:tcBorders>
            <w:shd w:fill="FEF3C7" w:val="clear"/>
            <w:tcMar>
              <w:top w:type="dxa" w:w="60"/>
              <w:left w:type="dxa" w:w="100"/>
              <w:bottom w:type="dxa" w:w="60"/>
              <w:right w:type="dxa" w:w="100"/>
            </w:tcMar>
          </w:tcPr>
          <w:p>
            <w:pPr>
              <w:jc w:val="center"/>
            </w:pPr>
            <w:r>
              <w:rPr>
                <w:rFonts w:ascii="Arial" w:cs="Arial" w:eastAsia="Arial" w:hAnsi="Arial"/>
                <w:b/>
                <w:bCs/>
                <w:color w:val="92400E"/>
                <w:sz w:val="16"/>
                <w:szCs w:val="16"/>
              </w:rPr>
              <w:t xml:space="preserve">AMBER</w:t>
            </w:r>
          </w:p>
        </w:tc>
        <w:tc>
          <w:tcPr>
            <w:tcW w:type="dxa" w:w="7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Procedural irregularity or pattern warranting further scrutiny</w:t>
            </w:r>
          </w:p>
        </w:tc>
      </w:tr>
      <w:tr>
        <w:tc>
          <w:tcPr>
            <w:tcW w:type="dxa" w:w="1000"/>
            <w:tcBorders>
              <w:top w:val="single" w:color="999999" w:sz="1"/>
              <w:left w:val="single" w:color="999999" w:sz="1"/>
              <w:bottom w:val="single" w:color="999999" w:sz="1"/>
              <w:right w:val="single" w:color="999999" w:sz="1"/>
            </w:tcBorders>
            <w:shd w:fill="D1FAE5" w:val="clear"/>
            <w:tcMar>
              <w:top w:type="dxa" w:w="60"/>
              <w:left w:type="dxa" w:w="100"/>
              <w:bottom w:type="dxa" w:w="60"/>
              <w:right w:type="dxa" w:w="100"/>
            </w:tcMar>
          </w:tcPr>
          <w:p>
            <w:pPr>
              <w:jc w:val="center"/>
            </w:pPr>
            <w:r>
              <w:rPr>
                <w:rFonts w:ascii="Arial" w:cs="Arial" w:eastAsia="Arial" w:hAnsi="Arial"/>
                <w:b/>
                <w:bCs/>
                <w:color w:val="065F46"/>
                <w:sz w:val="16"/>
                <w:szCs w:val="16"/>
              </w:rPr>
              <w:t xml:space="preserve">GREEN</w:t>
            </w:r>
          </w:p>
        </w:tc>
        <w:tc>
          <w:tcPr>
            <w:tcW w:type="dxa" w:w="7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Routine transaction, confirmed compliant with trading windows</w:t>
            </w:r>
          </w:p>
        </w:tc>
      </w:tr>
      <w:tr>
        <w:tc>
          <w:tcPr>
            <w:tcW w:type="dxa" w:w="1000"/>
            <w:tcBorders>
              <w:top w:val="single" w:color="999999" w:sz="1"/>
              <w:left w:val="single" w:color="999999" w:sz="1"/>
              <w:bottom w:val="single" w:color="999999" w:sz="1"/>
              <w:right w:val="single" w:color="999999" w:sz="1"/>
            </w:tcBorders>
            <w:shd w:fill="F3F4F6" w:val="clear"/>
            <w:tcMar>
              <w:top w:type="dxa" w:w="60"/>
              <w:left w:type="dxa" w:w="100"/>
              <w:bottom w:type="dxa" w:w="60"/>
              <w:right w:type="dxa" w:w="100"/>
            </w:tcMar>
          </w:tcPr>
          <w:p>
            <w:pPr>
              <w:jc w:val="center"/>
            </w:pPr>
            <w:r>
              <w:rPr>
                <w:rFonts w:ascii="Arial" w:cs="Arial" w:eastAsia="Arial" w:hAnsi="Arial"/>
                <w:b/>
                <w:bCs/>
                <w:color w:val="4B5563"/>
                <w:sz w:val="16"/>
                <w:szCs w:val="16"/>
              </w:rPr>
              <w:t xml:space="preserve">GREY</w:t>
            </w:r>
          </w:p>
        </w:tc>
        <w:tc>
          <w:tcPr>
            <w:tcW w:type="dxa" w:w="7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Calendar/regulatory milestone or contextual marker</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200"/>
        <w:gridCol w:w="1660"/>
        <w:gridCol w:w="600"/>
      </w:tblGrid>
      <w:tr>
        <w:trPr>
          <w:tblHeader/>
        </w:trPr>
        <w:tc>
          <w:tcPr>
            <w:tcW w:type="dxa" w:w="13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w:t>
            </w:r>
          </w:p>
        </w:tc>
        <w:tc>
          <w:tcPr>
            <w:tcW w:type="dxa" w:w="26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PROXY / REGULATORY EVENT</w:t>
            </w:r>
          </w:p>
        </w:tc>
        <w:tc>
          <w:tcPr>
            <w:tcW w:type="dxa" w:w="3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 4 / FORM 5 EVENT</w:t>
            </w:r>
          </w:p>
        </w:tc>
        <w:tc>
          <w:tcPr>
            <w:tcW w:type="dxa" w:w="16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SUCCESSION EVENT</w:t>
            </w:r>
          </w:p>
        </w:tc>
        <w:tc>
          <w:tcPr>
            <w:tcW w:type="dxa" w:w="6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FLAG</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Jun 1, 2018</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FY2019 begins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3F4F6" w:val="clear"/>
            <w:tcMar>
              <w:top w:type="dxa" w:w="60"/>
              <w:left w:type="dxa" w:w="100"/>
              <w:bottom w:type="dxa" w:w="60"/>
              <w:right w:type="dxa" w:w="100"/>
            </w:tcMar>
          </w:tcPr>
          <w:p>
            <w:pPr>
              <w:jc w:val="center"/>
            </w:pPr>
            <w:r>
              <w:rPr>
                <w:rFonts w:ascii="Arial" w:cs="Arial" w:eastAsia="Arial" w:hAnsi="Arial"/>
                <w:b/>
                <w:bCs/>
                <w:color w:val="4B5563"/>
                <w:sz w:val="16"/>
                <w:szCs w:val="16"/>
              </w:rPr>
              <w:t xml:space="preserve">GREY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Jan 2,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Slusher exercises 200K shares (2 tranches); Parker exercises 150K @ $73.68</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D1FAE5" w:val="clear"/>
            <w:tcMar>
              <w:top w:type="dxa" w:w="60"/>
              <w:left w:type="dxa" w:w="100"/>
              <w:bottom w:type="dxa" w:w="60"/>
              <w:right w:type="dxa" w:w="100"/>
            </w:tcMar>
          </w:tcPr>
          <w:p>
            <w:pPr>
              <w:jc w:val="center"/>
            </w:pPr>
            <w:r>
              <w:rPr>
                <w:rFonts w:ascii="Arial" w:cs="Arial" w:eastAsia="Arial" w:hAnsi="Arial"/>
                <w:b/>
                <w:bCs/>
                <w:color w:val="065F46"/>
                <w:sz w:val="16"/>
                <w:szCs w:val="16"/>
              </w:rPr>
              <w:t xml:space="preserve">GREEN</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Jan 16,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Parker exercises 150K @ $78.00</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D1FAE5" w:val="clear"/>
            <w:tcMar>
              <w:top w:type="dxa" w:w="60"/>
              <w:left w:type="dxa" w:w="100"/>
              <w:bottom w:type="dxa" w:w="60"/>
              <w:right w:type="dxa" w:w="100"/>
            </w:tcMar>
          </w:tcPr>
          <w:p>
            <w:pPr>
              <w:jc w:val="center"/>
            </w:pPr>
            <w:r>
              <w:rPr>
                <w:rFonts w:ascii="Arial" w:cs="Arial" w:eastAsia="Arial" w:hAnsi="Arial"/>
                <w:b/>
                <w:bCs/>
                <w:color w:val="065F46"/>
                <w:sz w:val="16"/>
                <w:szCs w:val="16"/>
              </w:rPr>
              <w:t xml:space="preserve">GREEN</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Jan 18,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Knight gifts 625K Class B shares (~$47.6M) — recipient undisclosed. Parker exercises 150K @ $80.00</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EF3C7" w:val="clear"/>
            <w:tcMar>
              <w:top w:type="dxa" w:w="60"/>
              <w:left w:type="dxa" w:w="100"/>
              <w:bottom w:type="dxa" w:w="60"/>
              <w:right w:type="dxa" w:w="100"/>
            </w:tcMar>
          </w:tcPr>
          <w:p>
            <w:pPr>
              <w:jc w:val="center"/>
            </w:pPr>
            <w:r>
              <w:rPr>
                <w:rFonts w:ascii="Arial" w:cs="Arial" w:eastAsia="Arial" w:hAnsi="Arial"/>
                <w:b/>
                <w:bCs/>
                <w:color w:val="92400E"/>
                <w:sz w:val="16"/>
                <w:szCs w:val="16"/>
              </w:rPr>
              <w:t xml:space="preserve">AMBER</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Feb 5,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Parker exercises 150K @ $82.00 (10 days before blackout)</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D1FAE5" w:val="clear"/>
            <w:tcMar>
              <w:top w:type="dxa" w:w="60"/>
              <w:left w:type="dxa" w:w="100"/>
              <w:bottom w:type="dxa" w:w="60"/>
              <w:right w:type="dxa" w:w="100"/>
            </w:tcMar>
          </w:tcPr>
          <w:p>
            <w:pPr>
              <w:jc w:val="center"/>
            </w:pPr>
            <w:r>
              <w:rPr>
                <w:rFonts w:ascii="Arial" w:cs="Arial" w:eastAsia="Arial" w:hAnsi="Arial"/>
                <w:b/>
                <w:bCs/>
                <w:color w:val="065F46"/>
                <w:sz w:val="16"/>
                <w:szCs w:val="16"/>
              </w:rPr>
              <w:t xml:space="preserve">GREEN</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Feb 15,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Q3 FY2019 blackout opens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3F4F6" w:val="clear"/>
            <w:tcMar>
              <w:top w:type="dxa" w:w="60"/>
              <w:left w:type="dxa" w:w="100"/>
              <w:bottom w:type="dxa" w:w="60"/>
              <w:right w:type="dxa" w:w="100"/>
            </w:tcMar>
          </w:tcPr>
          <w:p>
            <w:pPr>
              <w:jc w:val="center"/>
            </w:pPr>
            <w:r>
              <w:rPr>
                <w:rFonts w:ascii="Arial" w:cs="Arial" w:eastAsia="Arial" w:hAnsi="Arial"/>
                <w:b/>
                <w:bCs/>
                <w:color w:val="4B5563"/>
                <w:sz w:val="16"/>
                <w:szCs w:val="16"/>
              </w:rPr>
              <w:t xml:space="preserve">GREY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Mar 21,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Q3 FY2019 earnings released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3F4F6" w:val="clear"/>
            <w:tcMar>
              <w:top w:type="dxa" w:w="60"/>
              <w:left w:type="dxa" w:w="100"/>
              <w:bottom w:type="dxa" w:w="60"/>
              <w:right w:type="dxa" w:w="100"/>
            </w:tcMar>
          </w:tcPr>
          <w:p>
            <w:pPr>
              <w:jc w:val="center"/>
            </w:pPr>
            <w:r>
              <w:rPr>
                <w:rFonts w:ascii="Arial" w:cs="Arial" w:eastAsia="Arial" w:hAnsi="Arial"/>
                <w:b/>
                <w:bCs/>
                <w:color w:val="4B5563"/>
                <w:sz w:val="16"/>
                <w:szCs w:val="16"/>
              </w:rPr>
              <w:t xml:space="preserve">GREY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Apr 9,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Sprunk gifts 8,036 shares — FILED LATE (Apr 17, 4 biz days)</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EF3C7" w:val="clear"/>
            <w:tcMar>
              <w:top w:type="dxa" w:w="60"/>
              <w:left w:type="dxa" w:w="100"/>
              <w:bottom w:type="dxa" w:w="60"/>
              <w:right w:type="dxa" w:w="100"/>
            </w:tcMar>
          </w:tcPr>
          <w:p>
            <w:pPr>
              <w:jc w:val="center"/>
            </w:pPr>
            <w:r>
              <w:rPr>
                <w:rFonts w:ascii="Arial" w:cs="Arial" w:eastAsia="Arial" w:hAnsi="Arial"/>
                <w:b/>
                <w:bCs/>
                <w:color w:val="92400E"/>
                <w:sz w:val="16"/>
                <w:szCs w:val="16"/>
              </w:rPr>
              <w:t xml:space="preserve">AMBER</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Apr 11,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Sprunk gifts 408 shares — FILED LATE (Apr 17, 2 biz days)</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EF3C7" w:val="clear"/>
            <w:tcMar>
              <w:top w:type="dxa" w:w="60"/>
              <w:left w:type="dxa" w:w="100"/>
              <w:bottom w:type="dxa" w:w="60"/>
              <w:right w:type="dxa" w:w="100"/>
            </w:tcMar>
          </w:tcPr>
          <w:p>
            <w:pPr>
              <w:jc w:val="center"/>
            </w:pPr>
            <w:r>
              <w:rPr>
                <w:rFonts w:ascii="Arial" w:cs="Arial" w:eastAsia="Arial" w:hAnsi="Arial"/>
                <w:b/>
                <w:bCs/>
                <w:color w:val="92400E"/>
                <w:sz w:val="16"/>
                <w:szCs w:val="16"/>
              </w:rPr>
              <w:t xml:space="preserve">AMBER</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Apr 16,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Sprunk exercises 40K options @ $38.76, sells @ $87.82 ($3.5M) — filed on time</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D1FAE5" w:val="clear"/>
            <w:tcMar>
              <w:top w:type="dxa" w:w="60"/>
              <w:left w:type="dxa" w:w="100"/>
              <w:bottom w:type="dxa" w:w="60"/>
              <w:right w:type="dxa" w:w="100"/>
            </w:tcMar>
          </w:tcPr>
          <w:p>
            <w:pPr>
              <w:jc w:val="center"/>
            </w:pPr>
            <w:r>
              <w:rPr>
                <w:rFonts w:ascii="Arial" w:cs="Arial" w:eastAsia="Arial" w:hAnsi="Arial"/>
                <w:b/>
                <w:bCs/>
                <w:color w:val="065F46"/>
                <w:sz w:val="16"/>
                <w:szCs w:val="16"/>
              </w:rPr>
              <w:t xml:space="preserve">GREEN</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Apr 30,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Sprunk gifts 489 shares — FILED LATE (May 6, 2 biz days)</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EF3C7" w:val="clear"/>
            <w:tcMar>
              <w:top w:type="dxa" w:w="60"/>
              <w:left w:type="dxa" w:w="100"/>
              <w:bottom w:type="dxa" w:w="60"/>
              <w:right w:type="dxa" w:w="100"/>
            </w:tcMar>
          </w:tcPr>
          <w:p>
            <w:pPr>
              <w:jc w:val="center"/>
            </w:pPr>
            <w:r>
              <w:rPr>
                <w:rFonts w:ascii="Arial" w:cs="Arial" w:eastAsia="Arial" w:hAnsi="Arial"/>
                <w:b/>
                <w:bCs/>
                <w:color w:val="92400E"/>
                <w:sz w:val="16"/>
                <w:szCs w:val="16"/>
              </w:rPr>
              <w:t xml:space="preserve">AMBER</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May 2,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B91C1C"/>
                <w:sz w:val="17"/>
                <w:szCs w:val="17"/>
              </w:rPr>
              <w:t xml:space="preserve">SEC FAST Act amendments take effect — permits omission of §16(a) caption if no delinquencies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pPr>
              <w:jc w:val="center"/>
            </w:pPr>
            <w:r>
              <w:rPr>
                <w:rFonts w:ascii="Arial" w:cs="Arial" w:eastAsia="Arial" w:hAnsi="Arial"/>
                <w:b/>
                <w:bCs/>
                <w:color w:val="B91C1C"/>
                <w:sz w:val="16"/>
                <w:szCs w:val="16"/>
              </w:rPr>
              <w:t xml:space="preserv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May 15,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Q4 FY2019 blackout opens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3F4F6" w:val="clear"/>
            <w:tcMar>
              <w:top w:type="dxa" w:w="60"/>
              <w:left w:type="dxa" w:w="100"/>
              <w:bottom w:type="dxa" w:w="60"/>
              <w:right w:type="dxa" w:w="100"/>
            </w:tcMar>
          </w:tcPr>
          <w:p>
            <w:pPr>
              <w:jc w:val="center"/>
            </w:pPr>
            <w:r>
              <w:rPr>
                <w:rFonts w:ascii="Arial" w:cs="Arial" w:eastAsia="Arial" w:hAnsi="Arial"/>
                <w:b/>
                <w:bCs/>
                <w:color w:val="4B5563"/>
                <w:sz w:val="16"/>
                <w:szCs w:val="16"/>
              </w:rPr>
              <w:t xml:space="preserve">GREY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May 31,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FY2019 ends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3F4F6" w:val="clear"/>
            <w:tcMar>
              <w:top w:type="dxa" w:w="60"/>
              <w:left w:type="dxa" w:w="100"/>
              <w:bottom w:type="dxa" w:w="60"/>
              <w:right w:type="dxa" w:w="100"/>
            </w:tcMar>
          </w:tcPr>
          <w:p>
            <w:pPr>
              <w:jc w:val="center"/>
            </w:pPr>
            <w:r>
              <w:rPr>
                <w:rFonts w:ascii="Arial" w:cs="Arial" w:eastAsia="Arial" w:hAnsi="Arial"/>
                <w:b/>
                <w:bCs/>
                <w:color w:val="4B5563"/>
                <w:sz w:val="16"/>
                <w:szCs w:val="16"/>
              </w:rPr>
              <w:t xml:space="preserve">GREY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Jun 27,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Q4 FY2019 earnings released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3F4F6" w:val="clear"/>
            <w:tcMar>
              <w:top w:type="dxa" w:w="60"/>
              <w:left w:type="dxa" w:w="100"/>
              <w:bottom w:type="dxa" w:w="60"/>
              <w:right w:type="dxa" w:w="100"/>
            </w:tcMar>
          </w:tcPr>
          <w:p>
            <w:pPr>
              <w:jc w:val="center"/>
            </w:pPr>
            <w:r>
              <w:rPr>
                <w:rFonts w:ascii="Arial" w:cs="Arial" w:eastAsia="Arial" w:hAnsi="Arial"/>
                <w:b/>
                <w:bCs/>
                <w:color w:val="4B5563"/>
                <w:sz w:val="16"/>
                <w:szCs w:val="16"/>
              </w:rPr>
              <w:t xml:space="preserve">GREY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Jul 23,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B91C1C"/>
                <w:sz w:val="17"/>
                <w:szCs w:val="17"/>
              </w:rPr>
              <w:t xml:space="preserve">FY2019 10-K filed — Part III incorporated by reference from proxy; NO independent §16(a) disclosure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pPr>
              <w:jc w:val="center"/>
            </w:pPr>
            <w:r>
              <w:rPr>
                <w:rFonts w:ascii="Arial" w:cs="Arial" w:eastAsia="Arial" w:hAnsi="Arial"/>
                <w:b/>
                <w:bCs/>
                <w:color w:val="B91C1C"/>
                <w:sz w:val="16"/>
                <w:szCs w:val="16"/>
              </w:rPr>
              <w:t xml:space="preserv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Aug 9,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B91C1C"/>
                <w:sz w:val="17"/>
                <w:szCs w:val="17"/>
              </w:rPr>
              <w:t xml:space="preserve">FY2019 DEF 14A (proxy) filed — §16(a) SECTION ENTIRELY OMITTED despite Sprunk late filings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pPr>
              <w:jc w:val="center"/>
            </w:pPr>
            <w:r>
              <w:rPr>
                <w:rFonts w:ascii="Arial" w:cs="Arial" w:eastAsia="Arial" w:hAnsi="Arial"/>
                <w:b/>
                <w:bCs/>
                <w:color w:val="B91C1C"/>
                <w:sz w:val="16"/>
                <w:szCs w:val="16"/>
              </w:rPr>
              <w:t xml:space="preserv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Aug 15,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Q1 FY2020 blackout opens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3F4F6" w:val="clear"/>
            <w:tcMar>
              <w:top w:type="dxa" w:w="60"/>
              <w:left w:type="dxa" w:w="100"/>
              <w:bottom w:type="dxa" w:w="60"/>
              <w:right w:type="dxa" w:w="100"/>
            </w:tcMar>
          </w:tcPr>
          <w:p>
            <w:pPr>
              <w:jc w:val="center"/>
            </w:pPr>
            <w:r>
              <w:rPr>
                <w:rFonts w:ascii="Arial" w:cs="Arial" w:eastAsia="Arial" w:hAnsi="Arial"/>
                <w:b/>
                <w:bCs/>
                <w:color w:val="4B5563"/>
                <w:sz w:val="16"/>
                <w:szCs w:val="16"/>
              </w:rPr>
              <w:t xml:space="preserve">GREY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Sep 19,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Board director annual RSU grants (Code A) — 9 directors</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D1FAE5" w:val="clear"/>
            <w:tcMar>
              <w:top w:type="dxa" w:w="60"/>
              <w:left w:type="dxa" w:w="100"/>
              <w:bottom w:type="dxa" w:w="60"/>
              <w:right w:type="dxa" w:w="100"/>
            </w:tcMar>
          </w:tcPr>
          <w:p>
            <w:pPr>
              <w:jc w:val="center"/>
            </w:pPr>
            <w:r>
              <w:rPr>
                <w:rFonts w:ascii="Arial" w:cs="Arial" w:eastAsia="Arial" w:hAnsi="Arial"/>
                <w:b/>
                <w:bCs/>
                <w:color w:val="065F46"/>
                <w:sz w:val="16"/>
                <w:szCs w:val="16"/>
              </w:rPr>
              <w:t xml:space="preserve">GREEN</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Sep 24,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Q1 FY2020 earnings released (EPS beat: $0.86 vs $0.70 est.)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3F4F6" w:val="clear"/>
            <w:tcMar>
              <w:top w:type="dxa" w:w="60"/>
              <w:left w:type="dxa" w:w="100"/>
              <w:bottom w:type="dxa" w:w="60"/>
              <w:right w:type="dxa" w:w="100"/>
            </w:tcMar>
          </w:tcPr>
          <w:p>
            <w:pPr>
              <w:jc w:val="center"/>
            </w:pPr>
            <w:r>
              <w:rPr>
                <w:rFonts w:ascii="Arial" w:cs="Arial" w:eastAsia="Arial" w:hAnsi="Arial"/>
                <w:b/>
                <w:bCs/>
                <w:color w:val="4B5563"/>
                <w:sz w:val="16"/>
                <w:szCs w:val="16"/>
              </w:rPr>
              <w:t xml:space="preserve">GREY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Sep 30,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Parker exercises 165K @ $93.42 ($15.4M)</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D1FAE5" w:val="clear"/>
            <w:tcMar>
              <w:top w:type="dxa" w:w="60"/>
              <w:left w:type="dxa" w:w="100"/>
              <w:bottom w:type="dxa" w:w="60"/>
              <w:right w:type="dxa" w:w="100"/>
            </w:tcMar>
          </w:tcPr>
          <w:p>
            <w:pPr>
              <w:jc w:val="center"/>
            </w:pPr>
            <w:r>
              <w:rPr>
                <w:rFonts w:ascii="Arial" w:cs="Arial" w:eastAsia="Arial" w:hAnsi="Arial"/>
                <w:b/>
                <w:bCs/>
                <w:color w:val="065F46"/>
                <w:sz w:val="16"/>
                <w:szCs w:val="16"/>
              </w:rPr>
              <w:t xml:space="preserve">GREEN</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Oct 3,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Sprunk gifts 820 shares (filed on time)</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D1FAE5" w:val="clear"/>
            <w:tcMar>
              <w:top w:type="dxa" w:w="60"/>
              <w:left w:type="dxa" w:w="100"/>
              <w:bottom w:type="dxa" w:w="60"/>
              <w:right w:type="dxa" w:w="100"/>
            </w:tcMar>
          </w:tcPr>
          <w:p>
            <w:pPr>
              <w:jc w:val="center"/>
            </w:pPr>
            <w:r>
              <w:rPr>
                <w:rFonts w:ascii="Arial" w:cs="Arial" w:eastAsia="Arial" w:hAnsi="Arial"/>
                <w:b/>
                <w:bCs/>
                <w:color w:val="065F46"/>
                <w:sz w:val="16"/>
                <w:szCs w:val="16"/>
              </w:rPr>
              <w:t xml:space="preserve">GREEN</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~Summer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Board succession discussions underway (Parker: "many months")</w:t>
            </w:r>
          </w:p>
        </w:tc>
        <w:tc>
          <w:tcPr>
            <w:tcW w:type="dxa" w:w="600"/>
            <w:tcBorders>
              <w:top w:val="single" w:color="999999" w:sz="1"/>
              <w:left w:val="single" w:color="999999" w:sz="1"/>
              <w:bottom w:val="single" w:color="999999" w:sz="1"/>
              <w:right w:val="single" w:color="999999" w:sz="1"/>
            </w:tcBorders>
            <w:shd w:fill="FEF3C7" w:val="clear"/>
            <w:tcMar>
              <w:top w:type="dxa" w:w="60"/>
              <w:left w:type="dxa" w:w="100"/>
              <w:bottom w:type="dxa" w:w="60"/>
              <w:right w:type="dxa" w:w="100"/>
            </w:tcMar>
          </w:tcPr>
          <w:p>
            <w:pPr>
              <w:jc w:val="center"/>
            </w:pPr>
            <w:r>
              <w:rPr>
                <w:rFonts w:ascii="Arial" w:cs="Arial" w:eastAsia="Arial" w:hAnsi="Arial"/>
                <w:b/>
                <w:bCs/>
                <w:color w:val="92400E"/>
                <w:sz w:val="16"/>
                <w:szCs w:val="16"/>
              </w:rPr>
              <w:t xml:space="preserve">AMBER</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Oct 17,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B91C1C"/>
                <w:sz w:val="17"/>
                <w:szCs w:val="17"/>
              </w:rPr>
              <w:t xml:space="preserve">Donahoe offer letter + noncompete signed; Parker Exec Chairman letter signed</w:t>
            </w:r>
          </w:p>
        </w:tc>
        <w:tc>
          <w:tcPr>
            <w:tcW w:type="dxa" w:w="60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pPr>
              <w:jc w:val="center"/>
            </w:pPr>
            <w:r>
              <w:rPr>
                <w:rFonts w:ascii="Arial" w:cs="Arial" w:eastAsia="Arial" w:hAnsi="Arial"/>
                <w:b/>
                <w:bCs/>
                <w:color w:val="B91C1C"/>
                <w:sz w:val="16"/>
                <w:szCs w:val="16"/>
              </w:rPr>
              <w:t xml:space="preserv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Oct 22,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B91C1C"/>
                <w:sz w:val="17"/>
                <w:szCs w:val="17"/>
              </w:rPr>
              <w:t xml:space="preserve">8-K filed: Parker stepping down as CEO Jan 13, 2020; Donahoe named successor</w:t>
            </w:r>
          </w:p>
        </w:tc>
        <w:tc>
          <w:tcPr>
            <w:tcW w:type="dxa" w:w="60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pPr>
              <w:jc w:val="center"/>
            </w:pPr>
            <w:r>
              <w:rPr>
                <w:rFonts w:ascii="Arial" w:cs="Arial" w:eastAsia="Arial" w:hAnsi="Arial"/>
                <w:b/>
                <w:bCs/>
                <w:color w:val="B91C1C"/>
                <w:sz w:val="16"/>
                <w:szCs w:val="16"/>
              </w:rPr>
              <w:t xml:space="preserv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Oct 29,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Swoosh LLC: Knight family — 3 Code J transactions (GRAT/trust restructuring)</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D1FAE5" w:val="clear"/>
            <w:tcMar>
              <w:top w:type="dxa" w:w="60"/>
              <w:left w:type="dxa" w:w="100"/>
              <w:bottom w:type="dxa" w:w="60"/>
              <w:right w:type="dxa" w:w="100"/>
            </w:tcMar>
          </w:tcPr>
          <w:p>
            <w:pPr>
              <w:jc w:val="center"/>
            </w:pPr>
            <w:r>
              <w:rPr>
                <w:rFonts w:ascii="Arial" w:cs="Arial" w:eastAsia="Arial" w:hAnsi="Arial"/>
                <w:b/>
                <w:bCs/>
                <w:color w:val="065F46"/>
                <w:sz w:val="16"/>
                <w:szCs w:val="16"/>
              </w:rPr>
              <w:t xml:space="preserve">GREEN</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Oct 30,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COORDINATED GIFT CLUSTER: Matheson (17K+1,120), Krane (4,721), Graf (8,960) — sequential accession #s, same-batch filing</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EF3C7" w:val="clear"/>
            <w:tcMar>
              <w:top w:type="dxa" w:w="60"/>
              <w:left w:type="dxa" w:w="100"/>
              <w:bottom w:type="dxa" w:w="60"/>
              <w:right w:type="dxa" w:w="100"/>
            </w:tcMar>
          </w:tcPr>
          <w:p>
            <w:pPr>
              <w:jc w:val="center"/>
            </w:pPr>
            <w:r>
              <w:rPr>
                <w:rFonts w:ascii="Arial" w:cs="Arial" w:eastAsia="Arial" w:hAnsi="Arial"/>
                <w:b/>
                <w:bCs/>
                <w:color w:val="92400E"/>
                <w:sz w:val="16"/>
                <w:szCs w:val="16"/>
              </w:rPr>
              <w:t xml:space="preserve">AMBER</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Oct 31,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Swoosh LLC: 10-share Class A→B conversion (Graf dual role)</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EF3C7" w:val="clear"/>
            <w:tcMar>
              <w:top w:type="dxa" w:w="60"/>
              <w:left w:type="dxa" w:w="100"/>
              <w:bottom w:type="dxa" w:w="60"/>
              <w:right w:type="dxa" w:w="100"/>
            </w:tcMar>
          </w:tcPr>
          <w:p>
            <w:pPr>
              <w:jc w:val="center"/>
            </w:pPr>
            <w:r>
              <w:rPr>
                <w:rFonts w:ascii="Arial" w:cs="Arial" w:eastAsia="Arial" w:hAnsi="Arial"/>
                <w:b/>
                <w:bCs/>
                <w:color w:val="92400E"/>
                <w:sz w:val="16"/>
                <w:szCs w:val="16"/>
              </w:rPr>
              <w:t xml:space="preserve">AMBER</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Nov 15,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Q2 FY2020 blackout opens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3F4F6" w:val="clear"/>
            <w:tcMar>
              <w:top w:type="dxa" w:w="60"/>
              <w:left w:type="dxa" w:w="100"/>
              <w:bottom w:type="dxa" w:w="60"/>
              <w:right w:type="dxa" w:w="100"/>
            </w:tcMar>
          </w:tcPr>
          <w:p>
            <w:pPr>
              <w:jc w:val="center"/>
            </w:pPr>
            <w:r>
              <w:rPr>
                <w:rFonts w:ascii="Arial" w:cs="Arial" w:eastAsia="Arial" w:hAnsi="Arial"/>
                <w:b/>
                <w:bCs/>
                <w:color w:val="4B5563"/>
                <w:sz w:val="16"/>
                <w:szCs w:val="16"/>
              </w:rPr>
              <w:t xml:space="preserve">GREY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Dec 2,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B91C1C"/>
                <w:sz w:val="17"/>
                <w:szCs w:val="17"/>
              </w:rPr>
              <w:t xml:space="preserve">PARKER exercises ~156K shares @ $93.55 ($15.4M) — INSIDE BLACKOUT WINDOW. 10b5-1 plan required; adoption date UNDISCLOSED</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pPr>
              <w:jc w:val="center"/>
            </w:pPr>
            <w:r>
              <w:rPr>
                <w:rFonts w:ascii="Arial" w:cs="Arial" w:eastAsia="Arial" w:hAnsi="Arial"/>
                <w:b/>
                <w:bCs/>
                <w:color w:val="B91C1C"/>
                <w:sz w:val="16"/>
                <w:szCs w:val="16"/>
              </w:rPr>
              <w:t xml:space="preserv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Dec 19,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Q2 FY2020 earnings released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3F4F6" w:val="clear"/>
            <w:tcMar>
              <w:top w:type="dxa" w:w="60"/>
              <w:left w:type="dxa" w:w="100"/>
              <w:bottom w:type="dxa" w:w="60"/>
              <w:right w:type="dxa" w:w="100"/>
            </w:tcMar>
          </w:tcPr>
          <w:p>
            <w:pPr>
              <w:jc w:val="center"/>
            </w:pPr>
            <w:r>
              <w:rPr>
                <w:rFonts w:ascii="Arial" w:cs="Arial" w:eastAsia="Arial" w:hAnsi="Arial"/>
                <w:b/>
                <w:bCs/>
                <w:color w:val="4B5563"/>
                <w:sz w:val="16"/>
                <w:szCs w:val="16"/>
              </w:rPr>
              <w:t xml:space="preserve">GREY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Dec 24,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Sprunk exercises 120K options ($12M proceeds). Also gifts 124 shares — NOT reported on Form 4</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EF3C7" w:val="clear"/>
            <w:tcMar>
              <w:top w:type="dxa" w:w="60"/>
              <w:left w:type="dxa" w:w="100"/>
              <w:bottom w:type="dxa" w:w="60"/>
              <w:right w:type="dxa" w:w="100"/>
            </w:tcMar>
          </w:tcPr>
          <w:p>
            <w:pPr>
              <w:jc w:val="center"/>
            </w:pPr>
            <w:r>
              <w:rPr>
                <w:rFonts w:ascii="Arial" w:cs="Arial" w:eastAsia="Arial" w:hAnsi="Arial"/>
                <w:b/>
                <w:bCs/>
                <w:color w:val="92400E"/>
                <w:sz w:val="16"/>
                <w:szCs w:val="16"/>
              </w:rPr>
              <w:t xml:space="preserve">AMBER</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Dec 26, 2019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Sprunk gifts 562 shares — NOT reported on Form 4</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EF3C7" w:val="clear"/>
            <w:tcMar>
              <w:top w:type="dxa" w:w="60"/>
              <w:left w:type="dxa" w:w="100"/>
              <w:bottom w:type="dxa" w:w="60"/>
              <w:right w:type="dxa" w:w="100"/>
            </w:tcMar>
          </w:tcPr>
          <w:p>
            <w:pPr>
              <w:jc w:val="center"/>
            </w:pPr>
            <w:r>
              <w:rPr>
                <w:rFonts w:ascii="Arial" w:cs="Arial" w:eastAsia="Arial" w:hAnsi="Arial"/>
                <w:b/>
                <w:bCs/>
                <w:color w:val="92400E"/>
                <w:sz w:val="16"/>
                <w:szCs w:val="16"/>
              </w:rPr>
              <w:t xml:space="preserve">AMBER</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Jan 13, 2020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Donahoe becomes CEO; Parker transitions to Executive Chairman</w:t>
            </w:r>
          </w:p>
        </w:tc>
        <w:tc>
          <w:tcPr>
            <w:tcW w:type="dxa" w:w="600"/>
            <w:tcBorders>
              <w:top w:val="single" w:color="999999" w:sz="1"/>
              <w:left w:val="single" w:color="999999" w:sz="1"/>
              <w:bottom w:val="single" w:color="999999" w:sz="1"/>
              <w:right w:val="single" w:color="999999" w:sz="1"/>
            </w:tcBorders>
            <w:shd w:fill="F3F4F6" w:val="clear"/>
            <w:tcMar>
              <w:top w:type="dxa" w:w="60"/>
              <w:left w:type="dxa" w:w="100"/>
              <w:bottom w:type="dxa" w:w="60"/>
              <w:right w:type="dxa" w:w="100"/>
            </w:tcMar>
          </w:tcPr>
          <w:p>
            <w:pPr>
              <w:jc w:val="center"/>
            </w:pPr>
            <w:r>
              <w:rPr>
                <w:rFonts w:ascii="Arial" w:cs="Arial" w:eastAsia="Arial" w:hAnsi="Arial"/>
                <w:b/>
                <w:bCs/>
                <w:color w:val="4B5563"/>
                <w:sz w:val="16"/>
                <w:szCs w:val="16"/>
              </w:rPr>
              <w:t xml:space="preserve">GREY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Feb 2020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Sprunk departure announced (part of Donahoe restructuring)</w:t>
            </w:r>
          </w:p>
        </w:tc>
        <w:tc>
          <w:tcPr>
            <w:tcW w:type="dxa" w:w="600"/>
            <w:tcBorders>
              <w:top w:val="single" w:color="999999" w:sz="1"/>
              <w:left w:val="single" w:color="999999" w:sz="1"/>
              <w:bottom w:val="single" w:color="999999" w:sz="1"/>
              <w:right w:val="single" w:color="999999" w:sz="1"/>
            </w:tcBorders>
            <w:shd w:fill="F3F4F6" w:val="clear"/>
            <w:tcMar>
              <w:top w:type="dxa" w:w="60"/>
              <w:left w:type="dxa" w:w="100"/>
              <w:bottom w:type="dxa" w:w="60"/>
              <w:right w:type="dxa" w:w="100"/>
            </w:tcMar>
          </w:tcPr>
          <w:p>
            <w:pPr>
              <w:jc w:val="center"/>
            </w:pPr>
            <w:r>
              <w:rPr>
                <w:rFonts w:ascii="Arial" w:cs="Arial" w:eastAsia="Arial" w:hAnsi="Arial"/>
                <w:b/>
                <w:bCs/>
                <w:color w:val="4B5563"/>
                <w:sz w:val="16"/>
                <w:szCs w:val="16"/>
              </w:rPr>
              <w:t xml:space="preserve">GREY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Jul 10, 2020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Sprunk Form 5 filed — finally reports Dec 24-26 micro-gifts (124 + 562 shares)</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EF3C7" w:val="clear"/>
            <w:tcMar>
              <w:top w:type="dxa" w:w="60"/>
              <w:left w:type="dxa" w:w="100"/>
              <w:bottom w:type="dxa" w:w="60"/>
              <w:right w:type="dxa" w:w="100"/>
            </w:tcMar>
          </w:tcPr>
          <w:p>
            <w:pPr>
              <w:jc w:val="center"/>
            </w:pPr>
            <w:r>
              <w:rPr>
                <w:rFonts w:ascii="Arial" w:cs="Arial" w:eastAsia="Arial" w:hAnsi="Arial"/>
                <w:b/>
                <w:bCs/>
                <w:color w:val="92400E"/>
                <w:sz w:val="16"/>
                <w:szCs w:val="16"/>
              </w:rPr>
              <w:t xml:space="preserve">AMBER</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Jul 23, 2020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FY2020 10-K filed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3F4F6" w:val="clear"/>
            <w:tcMar>
              <w:top w:type="dxa" w:w="60"/>
              <w:left w:type="dxa" w:w="100"/>
              <w:bottom w:type="dxa" w:w="60"/>
              <w:right w:type="dxa" w:w="100"/>
            </w:tcMar>
          </w:tcPr>
          <w:p>
            <w:pPr>
              <w:jc w:val="center"/>
            </w:pPr>
            <w:r>
              <w:rPr>
                <w:rFonts w:ascii="Arial" w:cs="Arial" w:eastAsia="Arial" w:hAnsi="Arial"/>
                <w:b/>
                <w:bCs/>
                <w:color w:val="4B5563"/>
                <w:sz w:val="16"/>
                <w:szCs w:val="16"/>
              </w:rPr>
              <w:t xml:space="preserve">GREY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1A1A1A"/>
                <w:sz w:val="17"/>
                <w:szCs w:val="17"/>
              </w:rPr>
              <w:t xml:space="preserve">Aug 2020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bCs/>
                <w:color w:val="B91C1C"/>
                <w:sz w:val="17"/>
                <w:szCs w:val="17"/>
              </w:rPr>
              <w:t xml:space="preserve">FY2020 DEF 14A filed — 10b5-1 plans NOT mentioned; succession narrative omits Oct 17 signing date; Swoosh cross-directorships not flagged as conflicts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20" w:after="20"/>
            </w:pPr>
            <w:r>
              <w:rPr>
                <w:rFonts w:ascii="Arial" w:cs="Arial" w:eastAsia="Arial" w:hAnsi="Arial"/>
                <w:b w:val="false"/>
                <w:bCs w:val="false"/>
                <w:color w:val="1A1A1A"/>
                <w:sz w:val="17"/>
                <w:szCs w:val="17"/>
              </w:rPr>
              <w:t xml:space="preserve"/>
            </w:r>
          </w:p>
        </w:tc>
        <w:tc>
          <w:tcPr>
            <w:tcW w:type="dxa" w:w="60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pPr>
              <w:jc w:val="center"/>
            </w:pPr>
            <w:r>
              <w:rPr>
                <w:rFonts w:ascii="Arial" w:cs="Arial" w:eastAsia="Arial" w:hAnsi="Arial"/>
                <w:b/>
                <w:bCs/>
                <w:color w:val="B91C1C"/>
                <w:sz w:val="16"/>
                <w:szCs w:val="16"/>
              </w:rPr>
              <w:t xml:space="preserve">RED</w:t>
            </w:r>
          </w:p>
        </w:tc>
      </w:tr>
    </w:tbl>
    <w:p>
      <w:r>
        <w:br w:type="page"/>
      </w:r>
    </w:p>
    <w:p>
      <w:pPr>
        <w:pStyle w:val="Heading1"/>
      </w:pPr>
      <w:r>
        <w:t xml:space="preserve">Critical Convergence Points</w:t>
      </w:r>
    </w:p>
    <w:p>
      <w:pPr>
        <w:spacing w:after="200"/>
      </w:pPr>
      <w:r>
        <w:rPr>
          <w:rFonts w:ascii="Arial" w:cs="Arial" w:eastAsia="Arial" w:hAnsi="Arial"/>
          <w:color w:val="1A1A1A"/>
          <w:sz w:val="22"/>
          <w:szCs w:val="22"/>
        </w:rPr>
        <w:t xml:space="preserve">Three temporal clusters concentrate the highest-risk findings in this timeline:</w:t>
      </w:r>
    </w:p>
    <w:p>
      <w:pPr>
        <w:pStyle w:val="Heading2"/>
      </w:pPr>
      <w:r>
        <w:t xml:space="preserve">Convergence 1: May–August 2019 (Disclosure Window)</w:t>
      </w:r>
    </w:p>
    <w:p>
      <w:pPr>
        <w:spacing w:after="160"/>
      </w:pPr>
      <w:r>
        <w:rPr>
          <w:rFonts w:ascii="Arial" w:cs="Arial" w:eastAsia="Arial" w:hAnsi="Arial"/>
          <w:sz w:val="22"/>
          <w:szCs w:val="22"/>
        </w:rPr>
        <w:t xml:space="preserve">The FAST Act amendments took effect May 2, 2019 — 29 days before Nike’s fiscal year end. Nike’s FY2019 proxy (filed August 9) was among the first major filings to omit the Section 16(a) caption entirely. This omission occurred despite Eric Sprunk’s documented late Form 4 filings in April–May 2019. The 10-K (filed July 23) incorporated Part III by reference from the proxy, meaning neither filing contains any Section 16(a) disclosure. Nike’s FY2013 proxy had previously disclosed Sprunk late filings from 2011–2012, establishing that the company was aware of his pattern.</w:t>
      </w:r>
    </w:p>
    <w:p>
      <w:pPr>
        <w:pStyle w:val="Heading2"/>
      </w:pPr>
      <w:r>
        <w:t xml:space="preserve">Convergence 2: October 17–31, 2019 (Succession + Gift Cluster)</w:t>
      </w:r>
    </w:p>
    <w:p>
      <w:pPr>
        <w:spacing w:after="160"/>
      </w:pPr>
      <w:r>
        <w:rPr>
          <w:rFonts w:ascii="Arial" w:cs="Arial" w:eastAsia="Arial" w:hAnsi="Arial"/>
          <w:sz w:val="22"/>
          <w:szCs w:val="22"/>
        </w:rPr>
        <w:t xml:space="preserve">The Donahoe offer letter and Parker transition agreement were signed October 17. The public announcement came October 22 via 8-K. Eight days later, on October 30, three senior insiders (Matheson, Krane, Graf) executed gifts with sequential accession numbers suggesting coordinated batch processing. On October 31, Swoosh LLC filed a 10-share Class A-to-B conversion with Graf serving dual roles as Nike Audit Committee Chair and Swoosh LLC Independent Director. Neither the FY2019 nor FY2020 proxy discloses any event-specific blackout around the CEO transition, and the October 17 signing date appears only in the 8-K exhibits — not in either proxy’s succession narrative.</w:t>
      </w:r>
    </w:p>
    <w:p>
      <w:pPr>
        <w:pStyle w:val="Heading2"/>
      </w:pPr>
      <w:r>
        <w:t xml:space="preserve">Convergence 3: December 2–26, 2019 (Blackout Exercise + Late Filings)</w:t>
      </w:r>
    </w:p>
    <w:p>
      <w:pPr>
        <w:spacing w:after="160"/>
      </w:pPr>
      <w:r>
        <w:rPr>
          <w:rFonts w:ascii="Arial" w:cs="Arial" w:eastAsia="Arial" w:hAnsi="Arial"/>
          <w:sz w:val="22"/>
          <w:szCs w:val="22"/>
        </w:rPr>
        <w:t xml:space="preserve">Parker’s December 2 option exercise (~$15.4M) fell within the Q2 FY2020 quarterly blackout (November 15–December 20). This is the only transaction in the entire dataset that legally requires an active 10b5-1 plan for compliance. The proxy discloses zero information about 10b5-1 plan policies, adoption dates, or cooling-off periods. Twenty-two days later, Sprunk executed December 24–26 micro-gifts (124 + 562 shares) that were never reported on Form 4 and only surfaced on a Form 5 filed July 10, 2020 — over six months later.</w:t>
      </w:r>
    </w:p>
    <w:p>
      <w:pPr>
        <w:pStyle w:val="Heading1"/>
      </w:pPr>
      <w:r>
        <w:t xml:space="preserve">Methodology &amp; Sources</w:t>
      </w:r>
    </w:p>
    <w:p>
      <w:pPr>
        <w:spacing w:after="120"/>
      </w:pPr>
      <w:r>
        <w:rPr>
          <w:rFonts w:ascii="Arial" w:cs="Arial" w:eastAsia="Arial" w:hAnsi="Arial"/>
          <w:color w:val="4B5563"/>
          <w:sz w:val="20"/>
          <w:szCs w:val="20"/>
        </w:rPr>
        <w:t xml:space="preserve">This timeline was constructed by cross-referencing the following primary sources: (1) Nike Inc. DEF 14A proxy statements for FY2018, FY2019, and FY2020 filed with SEC EDGAR; (2) All Form 4 and Form 5 filings for Nike insiders (CIK 0000320187) during calendar years 2019–2020; (3) Nike 8-K filings, specifically the October 22, 2019 CEO transition filing and attached exhibits (Donahoe offer letter, noncompete agreement, Parker Executive Chairman letter); (4) Nike FY2019 and FY2020 10-K annual reports; (5) Swoosh LLC Schedule 13D filing and amendments; (6) Nike’s Insider Trading and Blackout Policy (Exhibit 19.2); (7) SEC regulatory guidance on FAST Act amendments to Item 405 of Regulation S-K.</w:t>
      </w:r>
    </w:p>
    <w:p>
      <w:pPr>
        <w:spacing w:after="120"/>
      </w:pPr>
      <w:r>
        <w:rPr>
          <w:rFonts w:ascii="Arial" w:cs="Arial" w:eastAsia="Arial" w:hAnsi="Arial"/>
          <w:color w:val="4B5563"/>
          <w:sz w:val="20"/>
          <w:szCs w:val="20"/>
        </w:rPr>
        <w:t xml:space="preserve">Flag assignments reflect the triangulation analysis comparing what was filed with the SEC against what was disclosed (or omitted) in proxy statements. RED flags indicate material discrepancies where proxy disclosures are inconsistent with, or fail to acknowledge, information in contemporaneous SEC filings.</w:t>
      </w:r>
    </w:p>
    <w:sectPr>
      <w:headerReference w:type="default" r:id="rId6"/>
      <w:footerReference w:type="default" r:id="rId7"/>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4"/>
        <w:szCs w:val="14"/>
      </w:rPr>
      <w:t xml:space="preserve">Nike Inc. (CIK 0000320187) — Comparative Forensic Timeline FY2019–2020</w:t>
    </w:r>
    <w:r>
      <w:rPr>
        <w:rFonts w:ascii="Arial" w:cs="Arial" w:eastAsia="Arial" w:hAnsi="Arial"/>
        <w:color w:val="999999"/>
        <w:sz w:val="14"/>
        <w:szCs w:val="14"/>
      </w:rPr>
      <w:ptab w:alignment="right" w:relativeTo="margin" w:leader="none"/>
    </w: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b/>
        <w:bCs/>
        <w:color w:val="B91C1C"/>
        <w:sz w:val="16"/>
        <w:szCs w:val="16"/>
      </w:rPr>
      <w:t xml:space="preserve">PRIVILEGED &amp; CONFIDENTIAL  |  ATTORNEY WORK PRODUCT</w:t>
    </w:r>
    <w:r>
      <w:rPr>
        <w:rFonts w:ascii="Arial" w:cs="Arial" w:eastAsia="Arial" w:hAnsi="Arial"/>
        <w:sz w:val="16"/>
        <w:szCs w:val="16"/>
      </w:rPr>
      <w:t xml:space="preserve">                                                                          </w:t>
    </w:r>
    <w:r>
      <w:rPr>
        <w:rFonts w:ascii="Arial" w:cs="Arial" w:eastAsia="Arial" w:hAnsi="Arial"/>
        <w:color w:val="999999"/>
        <w:sz w:val="16"/>
        <w:szCs w:val="16"/>
      </w:rPr>
      <w:t xml:space="preserve">JLAW Forensic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2026-03-07T03:51:51.717Z</dcterms:created>
  <dcterms:modified xsi:type="dcterms:W3CDTF">2026-03-07T03:51:51.718Z</dcterms:modified>
</cp:coreProperties>
</file>

<file path=docProps/custom.xml><?xml version="1.0" encoding="utf-8"?>
<Properties xmlns="http://schemas.openxmlformats.org/officeDocument/2006/custom-properties" xmlns:vt="http://schemas.openxmlformats.org/officeDocument/2006/docPropsVTypes"/>
</file>