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F1B2D"/>
          <w:sz w:val="36"/>
          <w:szCs w:val="36"/>
        </w:rPr>
        <w:t xml:space="preserve">FULL-CORPUS COMPARATIVE FORENSIC TIMELINE — FISCAL YEAR 2020</w:t>
      </w:r>
    </w:p>
    <w:p>
      <w:pPr>
        <w:spacing w:after="25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12 Filing Types: 10-K • 10-Q • 8-K • DEF 14A • Form 3/4/5 • S-8 • 424B2 • SC 13D/G • CORRESP • 13F • Exhibits</w:t>
      </w:r>
    </w:p>
    <w:p>
      <w:pPr>
        <w:spacing w:after="14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Nike Inc. (NKE) | CIK 0000320187 | FY Ending May 31, 2020 | Generated: March 9, 2026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0F1B2D"/>
          <w:sz w:val="16"/>
          <w:szCs w:val="16"/>
        </w:rPr>
        <w:t xml:space="preserve">FLAG LEGEND  </w:t>
      </w:r>
      <w:r>
        <w:rPr>
          <w:rFonts w:ascii="Arial" w:cs="Arial" w:eastAsia="Arial" w:hAnsi="Arial"/>
          <w:color w:val="4B5563"/>
          <w:sz w:val="15"/>
          <w:szCs w:val="15"/>
        </w:rPr>
        <w:t xml:space="preserve">RED = Material anomaly/enforcement-relevant  |  AMBER = Procedural irregularity/suspicious timing  |  GREEN = Confirmed compliant  |  GREY = Calendar marker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"/>
        <w:gridCol w:w="2200"/>
        <w:gridCol w:w="2100"/>
        <w:gridCol w:w="2200"/>
        <w:gridCol w:w="50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PROXY / REGULATORY / PERIODIC FILING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 4 / SECTION 16 EVENT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GOVERNANCE / CORPORATE / CAPITAL MARKETS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Jun 1,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FY2020 begins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~Jul 23,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FY2019 10-K filed; Part III inc. by reference from proxy. No independent §16(a) disclosure. No Exhibit 19 (ITP) filed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Aug 9,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DEF 14A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FY2019 proxy filed — §16(a) section OMITTED (1st year post-FAST Act). Zero 10b5-1 mention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Aug 15,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Q1 FY2020 blackout opens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~Aug 16,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10-Q/8-K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$2B revolving credit facility with BofA as admin agent (disclosed Q1 10-Q)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Sep 19,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Board director annual RSU grants (Code A) — 9 directors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Sep 24,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Q1 FY2020 earnings released (Item 2.02)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Sep 30,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Parker exercises 165K @ $93.42 (~$15.4M) — open window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~Oct 1,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10-Q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Q1 10-Q filed. Clean legal proceedings. ASC 842 lease adoption disclosed. No trading-policy risk factors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Oct 3,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Sprunk gifts 820 shares (timely filed, 10b5-1 marked)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Oct 17,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Donahoe offer letter + noncompete signed. Parker Exec Chairman letter signed. NOT YET PUBLIC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Oct 22,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CEO transition 8-K filed (0000320187-19-000075). Item 5.02. SIX exhibits: Donahoe offer letter (Ex 10.1), performance options (10.2), noncompete (10.3), time-sharing (10.4/10.5), Parker letter (10.6)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$18.5M annual target + $17.5M sign-on RSUs + $17.5M perf options + $10M transition cash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Oct 29–31,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COORDINATED GIFT CLUSTER: Matheson, Krane, Graf — sequential accession #s. Swoosh 10-share Class A→B conversion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Nov 14,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3/4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Thasunda Duckett joins board. Form 3 filing due within 10 days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Nov 15,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Q2 FY2020 blackout opens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Dec 2,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PARKER exercises ~165K @ $93.55 ($15.4M) — INSIDE Q2 BLACKOUT. 10b5-1 required; adoption date UNDISCLOSED in any filing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Dec 19,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Q2 FY2020 earnings released (Item 2.02)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Dec 24,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Sprunk exercises 120K ($12M gross / $7.36M realized). 4 days post-blackout. Also gifts 124 shares — NOT on Form 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Dec 26, 2019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4/5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Sprunk gifts 562 shares — NOT on Form 4. Both Dec micro-gifts reported only on Form 5 filed Jul 10, 2020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~Jan 7,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10-Q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Q2 10-Q filed. Clean legal proceedings. No subsequent events re: CEO transition compensation details beyond 8-K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Jan 13,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Donahoe becomes CEO; Parker → Exec Chairman. ALL 3 Swoosh LLC “Independent Directors” now Nike insiders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Feb 4,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8-K: COVID-19 Greater China impact (Item 7.01). ~50% of Nike-owned China stores closed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Feb 12,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Sprunk notifies Nike of retirement intention. NOT YET PUBLIC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Feb 15,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Q3 FY2020 blackout opens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Feb 18,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Leadership 8-K (0000320187-20-000008). Item 5.02: Sprunk/Hill departures; Friend/Campion/O’Neill appointments. ONLY Friend’s noncompete filed (Ex 10.1). NO SEPARATION AGREEMENTS FILED for Sprunk or Hill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7 weeks from Sprunk’s $12M exercise to retirement announcement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 15–16,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Nike closes ~90% of stores globally. Announced via PRESS RELEASE ONLY. NO standalone 8-K FILED. 8-day SEC disclosure gap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~Mar 24,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Q3 earnings 8-K. Items 2.02 + 8.01 (atypical — chose Item 8.01 to FILE rather than FURNISH COVID disclosures). FIRST SEC disclosure of global store closures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~80% of Nike-owned stores closed disclosed in filing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 25,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424B2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$6B senior unsecured notes prospectus supplement filed. 5 tranches (2.4%–3.375%). BofA/Citi/Goldman/JPM as book-runners — ALL also Nike credit facility lenders (dual relationship disclosed)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 27,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$6B debt offering completion 8-K. Fourth Supplemental Indenture filed as exhibit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Mar 31,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Sprunk’s last day. Non-compete begins (~$100K/month for 12 months)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Apr 6,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Additional $2B 364-day credit facility (COVID liquidity backstop). Disclosed in Q3 10-Q subsequent events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~Apr 7,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10-Q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Q3 10-Q filed. Subsequent events: $6B debt + $2B credit facility confirmed. COVID store closures quantified. XBRL tag nke:A6BillionSeniorUnsecuredNotes confirms $6B exactly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May 15,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Q4 FY2020 blackout opens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May 31,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FY2020 ends. Zero insider purchases during 40% COVID drawdown (NKE: $100→$60→$98)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AMBER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Jun 25,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Q4/FY2020 earnings 8-K. Revenue $37.4B (-4.4%). Q4 revenue DOWN 38%; net loss ~$790M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GREY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Jul 10,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Form 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SPRUNK Form 5 filed — Dec 24–26 micro-gifts (124+562 shares). 5 days before deadline. Company AWARE 14 days before proxy filing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~Jul 23,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10-K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FY2020 10-K filed (0000320187-20-000047). Part III entirely inc. by ref. NO Exhibit 19 (ITP). No 10-K/A amendments. Risk factors: 22 categories — ZERO on dual-class governance, controlling shareholders, insider trading, or §16 compliance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Subsidiaries (Ex 21) correctly excludes Swoosh LLC (not Nike subsidiary)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Jul 24,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DEF 14A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FY2020 proxy filed (0000320187-20-000049). §16(a) OMITTED (2nd year). Zero 10b5-1. Swoosh governance loop disclosed only via Knight bio + beneficial ownership. No DEFA14A/DEFC14A supplements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ITP description. Audit Committee charter references “Clearance Director” for §16 pre-approval — buried in governance docs, not proxy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Sep 17, 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8-K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FY2020 annual meeting (virtual). SAY-ON-PAY COLLAPSES TO 54% (from 97%). Discretionary COVID bonuses: Donahoe $6.75M, Parker $6.025M replacing zero-payout PSP/LTIP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~2009–2020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4B5563"/>
                <w:sz w:val="15"/>
                <w:szCs w:val="15"/>
              </w:rPr>
              <w:t xml:space="preserve">CORRESP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spacing w:before="10" w:after="10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NO SEC COMMENT LETTERS FOUND FOR 11+ YEARS. Last known: Mar/Apr 2009 re: FX hedging. Zero regulatory scrutiny of dual-class governance, related party transactions, or ITP adequacy via EDGAR correspondence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Convergence Points — Full-Corpus FY2020</w:t>
      </w:r>
    </w:p>
    <w:p>
      <w:pPr>
        <w:spacing w:before="0" w:after="1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full-corpus audit reveals convergence patterns invisible to Form 4/proxy-only analysis. Three clusters concentrate the highest-risk findings when all 12 filing types are cross-referenced:</w:t>
      </w:r>
    </w:p>
    <w:p>
      <w:pPr>
        <w:pStyle w:val="Heading2"/>
      </w:pPr>
      <w:r>
        <w:t xml:space="preserve">Convergence 1: October 17 – December 2, 2019 (Succession → Blackout Exercise)</w:t>
      </w:r>
    </w:p>
    <w:p>
      <w:pPr>
        <w:spacing w:before="0" w:after="1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Donahoe offer letter was signed October 17. The 8-K on October 22 filed six exhibits detailing $53.5M in CEO transition compensation. Eight days later, three insiders executed coordinated gifts. On December 2, Parker exercised $15.4M in options INSIDE the Q2 blackout. No filing — not the 8-K, the subsequent Q2 10-Q, the DEF 14A, or the 10-K — contains ANY reference to 10b5-1 trading plans. Parker’s plan adoption date remains unknown across the entire EDGAR corpus. If the plan was adopted after October 17 (succession awareness), all subsequent exercises lack safe harbor protection.</w:t>
      </w:r>
    </w:p>
    <w:p>
      <w:pPr>
        <w:pStyle w:val="Heading2"/>
      </w:pPr>
      <w:r>
        <w:t xml:space="preserve">Convergence 2: February 18 – March 27, 2020 (Departures + COVID + $6B Debt)</w:t>
      </w:r>
    </w:p>
    <w:p>
      <w:pPr>
        <w:spacing w:before="0" w:after="1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February 18 8-K disclosed five simultaneous officer changes but filed ONLY Friend’s noncompete — no separation agreements for Sprunk ($12M exercise 7 weeks prior) or Hill. On March 15–16, Nike closed ~90% of stores with no 8-K (press release only). The March 24 earnings 8-K atypically invoked Item 8.01 to FILE (not furnish) COVID disclosures. One day later, the $6B 424B2 prospectus supplement disclosed underwriter-lender conflicts (BofA/Citi/Goldman/JPM are simultaneously credit facility parties). The Q3 10-Q (April 7) confirmed both the $6B debt and $2B emergency credit facility via XBRL-tagged subsequent events. This 38-day window concentrates executive departures, pandemic store closures, emergency debt issuance, and underwriter conflicts — the most informationally dense period in Nike’s recent history.</w:t>
      </w:r>
    </w:p>
    <w:p>
      <w:pPr>
        <w:pStyle w:val="Heading2"/>
      </w:pPr>
      <w:r>
        <w:t xml:space="preserve">Convergence 3: July 10–24, 2020 (Form 5 + 10-K + Proxy → Annual Meeting)</w:t>
      </w:r>
    </w:p>
    <w:p>
      <w:pPr>
        <w:spacing w:before="0" w:after="1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Sprunk’s Form 5 was filed July 10, reporting previously unreported December 2019 micro-gifts. Fourteen days later, both the 10-K and DEF 14A were filed on July 24. The 10-K contained 22 risk factor categories with ZERO addressing dual-class governance, controlling shareholders, insider trading, or Section 16 compliance. The proxy omitted Section 16(a) for the second consecutive year while containing zero 10b5-1 disclosure. No Exhibit 19 (ITP) was filed. Two months later, shareholders delivered a 54% say-on-pay vote — the lowest in Nike history. The 11+ year absence of SEC comment letters means no regulatory actor challenged any of these omissions through the EDGAR correspondence process.</w:t>
      </w:r>
    </w:p>
    <w:p>
      <w:pPr>
        <w:pStyle w:val="Heading1"/>
      </w:pPr>
      <w:r>
        <w:t xml:space="preserve">Methodology — Full-Corpus Audit Protocol</w:t>
      </w:r>
    </w:p>
    <w:p>
      <w:pPr>
        <w:spacing w:before="0" w:after="130"/>
      </w:pP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This timeline was constructed from a ground-up audit of all 12 EDGAR filing categories for Nike CIK 0000320187 during June 2019–September 2020: (1) 10-K annual report and exhibit index; (2) Three 10-Q quarterly reports; (3) Eight 8-K current reports; (4) DEF 14A proxy statement; (5) All Form 3/4/5 Section 16 filings; (6) S-8/S-3 registration statements; (7) 424B2 prospectus supplements; (8) Schedule 13D/G and amendments; (9) SEC correspondence (UPLOAD/CORRESP); (10) Institutional 13F filings; (11) Material contract exhibits across all filing types; (12) Annual meeting results 8-K. Each filing was cross-referenced against every other for consistency. Accession numbers are cited for all material filings.</w:t>
      </w:r>
    </w:p>
    <w:sectPr>
      <w:headerReference w:type="default" r:id="rId6"/>
      <w:footerReference w:type="default" r:id="rId7"/>
      <w:pgSz w:w="12240" w:h="15840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3"/>
        <w:szCs w:val="13"/>
      </w:rPr>
      <w:t xml:space="preserve">Nike Inc. (CIK 0000320187) — FY2020 Full-Corpus Forensic Timeline — 12 Filing Types Cross-Referenced</w:t>
    </w:r>
    <w:r>
      <w:rPr>
        <w:rFonts w:ascii="Arial" w:cs="Arial" w:eastAsia="Arial" w:hAnsi="Arial"/>
        <w:color w:val="999999"/>
        <w:sz w:val="13"/>
        <w:szCs w:val="13"/>
      </w:rPr>
      <w:ptab w:alignment="right" w:relativeTo="margin" w:leader="none"/>
    </w:r>
    <w:r>
      <w:rPr>
        <w:rFonts w:ascii="Arial" w:cs="Arial" w:eastAsia="Arial" w:hAnsi="Arial"/>
        <w:color w:val="999999"/>
        <w:sz w:val="13"/>
        <w:szCs w:val="13"/>
      </w:rPr>
      <w:t xml:space="preserve">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4"/>
      </w:pBdr>
    </w:pPr>
    <w:r>
      <w:rPr>
        <w:rFonts w:ascii="Arial" w:cs="Arial" w:eastAsia="Arial" w:hAnsi="Arial"/>
        <w:b/>
        <w:bCs/>
        <w:color w:val="B91C1C"/>
        <w:sz w:val="14"/>
        <w:szCs w:val="14"/>
      </w:rPr>
      <w:t xml:space="preserve">PRIVILEGED &amp; CONFIDENTIAL  |  FULL-CORPUS EDGAR AUDIT  |  ATTORNEY WORK PRODUCT</w:t>
    </w:r>
    <w:r>
      <w:rPr>
        <w:rFonts w:ascii="Arial" w:cs="Arial" w:eastAsia="Arial" w:hAnsi="Arial"/>
        <w:sz w:val="14"/>
        <w:szCs w:val="14"/>
      </w:rPr>
      <w:t xml:space="preserve">                                                                    </w:t>
    </w:r>
    <w:r>
      <w:rPr>
        <w:rFonts w:ascii="Arial" w:cs="Arial" w:eastAsia="Arial" w:hAnsi="Arial"/>
        <w:color w:val="999999"/>
        <w:sz w:val="14"/>
        <w:szCs w:val="14"/>
      </w:rPr>
      <w:t xml:space="preserve">JLAW Forensic Intelligence Platform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2026-03-09T11:31:39.999Z</dcterms:created>
  <dcterms:modified xsi:type="dcterms:W3CDTF">2026-03-09T11:31:40.000Z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