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B2545" w:sz="6" w:space="8"/>
        </w:pBdr>
        <w:spacing w:after="140"/>
        <w:jc w:val="center"/>
      </w:pPr>
      <w:r>
        <w:rPr>
          <w:rFonts w:ascii="Arial" w:cs="Arial" w:eastAsia="Arial" w:hAnsi="Arial"/>
          <w:b/>
          <w:bCs/>
          <w:color w:val="0B2545"/>
          <w:sz w:val="32"/>
          <w:szCs w:val="32"/>
        </w:rPr>
        <w:t xml:space="preserve">GOVERNANCE BRIEFING MEMORANDUM — FULL-CORPUS EDGAR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left w:val="none"/>
              <w:bottom w:val="none"/>
              <w:right w:val="none"/>
            </w:tcBorders>
            <w:tcMar>
              <w:top w:type="dxa" w:w="50"/>
              <w:left w:type="dxa" w:w="90"/>
              <w:bottom w:type="dxa" w:w="50"/>
              <w:right w:type="dxa" w:w="90"/>
            </w:tcMar>
          </w:tcPr>
          <w:p>
            <w:r>
              <w:rPr>
                <w:rFonts w:ascii="Arial" w:cs="Arial" w:eastAsia="Arial" w:hAnsi="Arial"/>
                <w:b/>
                <w:bCs/>
                <w:color w:val="0B2545"/>
                <w:sz w:val="21"/>
                <w:szCs w:val="21"/>
              </w:rPr>
              <w:t xml:space="preserve">TO:</w:t>
            </w:r>
          </w:p>
        </w:tc>
        <w:tc>
          <w:tcPr>
            <w:tcW w:type="dxa" w:w="7860"/>
            <w:tcBorders>
              <w:top w:val="none"/>
              <w:left w:val="none"/>
              <w:bottom w:val="none"/>
              <w:right w:val="none"/>
            </w:tcBorders>
            <w:tcMar>
              <w:top w:type="dxa" w:w="50"/>
              <w:left w:type="dxa" w:w="90"/>
              <w:bottom w:type="dxa" w:w="50"/>
              <w:right w:type="dxa" w:w="90"/>
            </w:tcMar>
          </w:tcPr>
          <w:p>
            <w:r>
              <w:rPr>
                <w:rFonts w:ascii="Arial" w:cs="Arial" w:eastAsia="Arial" w:hAnsi="Arial"/>
                <w:sz w:val="21"/>
                <w:szCs w:val="21"/>
              </w:rPr>
              <w:t xml:space="preserve">ISS Governance Research Division — U.S. Large Cap Coverage</w:t>
            </w:r>
          </w:p>
        </w:tc>
      </w:tr>
      <w:tr>
        <w:tc>
          <w:tcPr>
            <w:tcW w:type="dxa" w:w="1500"/>
            <w:tcBorders>
              <w:top w:val="none"/>
              <w:left w:val="none"/>
              <w:bottom w:val="none"/>
              <w:right w:val="none"/>
            </w:tcBorders>
            <w:tcMar>
              <w:top w:type="dxa" w:w="50"/>
              <w:left w:type="dxa" w:w="90"/>
              <w:bottom w:type="dxa" w:w="50"/>
              <w:right w:type="dxa" w:w="90"/>
            </w:tcMar>
          </w:tcPr>
          <w:p>
            <w:r>
              <w:rPr>
                <w:rFonts w:ascii="Arial" w:cs="Arial" w:eastAsia="Arial" w:hAnsi="Arial"/>
                <w:b/>
                <w:bCs/>
                <w:color w:val="0B2545"/>
                <w:sz w:val="21"/>
                <w:szCs w:val="21"/>
              </w:rPr>
              <w:t xml:space="preserve">FROM:</w:t>
            </w:r>
          </w:p>
        </w:tc>
        <w:tc>
          <w:tcPr>
            <w:tcW w:type="dxa" w:w="7860"/>
            <w:tcBorders>
              <w:top w:val="none"/>
              <w:left w:val="none"/>
              <w:bottom w:val="none"/>
              <w:right w:val="none"/>
            </w:tcBorders>
            <w:tcMar>
              <w:top w:type="dxa" w:w="50"/>
              <w:left w:type="dxa" w:w="90"/>
              <w:bottom w:type="dxa" w:w="50"/>
              <w:right w:type="dxa" w:w="90"/>
            </w:tcMar>
          </w:tcPr>
          <w:p>
            <w:r>
              <w:rPr>
                <w:rFonts w:ascii="Arial" w:cs="Arial" w:eastAsia="Arial" w:hAnsi="Arial"/>
                <w:sz w:val="21"/>
                <w:szCs w:val="21"/>
              </w:rPr>
              <w:t xml:space="preserve">JLAW Forensic Intelligence Platform v4</w:t>
            </w:r>
          </w:p>
        </w:tc>
      </w:tr>
      <w:tr>
        <w:tc>
          <w:tcPr>
            <w:tcW w:type="dxa" w:w="1500"/>
            <w:tcBorders>
              <w:top w:val="none"/>
              <w:left w:val="none"/>
              <w:bottom w:val="none"/>
              <w:right w:val="none"/>
            </w:tcBorders>
            <w:tcMar>
              <w:top w:type="dxa" w:w="50"/>
              <w:left w:type="dxa" w:w="90"/>
              <w:bottom w:type="dxa" w:w="50"/>
              <w:right w:type="dxa" w:w="90"/>
            </w:tcMar>
          </w:tcPr>
          <w:p>
            <w:r>
              <w:rPr>
                <w:rFonts w:ascii="Arial" w:cs="Arial" w:eastAsia="Arial" w:hAnsi="Arial"/>
                <w:b/>
                <w:bCs/>
                <w:color w:val="0B2545"/>
                <w:sz w:val="21"/>
                <w:szCs w:val="21"/>
              </w:rPr>
              <w:t xml:space="preserve">DATE:</w:t>
            </w:r>
          </w:p>
        </w:tc>
        <w:tc>
          <w:tcPr>
            <w:tcW w:type="dxa" w:w="7860"/>
            <w:tcBorders>
              <w:top w:val="none"/>
              <w:left w:val="none"/>
              <w:bottom w:val="none"/>
              <w:right w:val="none"/>
            </w:tcBorders>
            <w:tcMar>
              <w:top w:type="dxa" w:w="50"/>
              <w:left w:type="dxa" w:w="90"/>
              <w:bottom w:type="dxa" w:w="50"/>
              <w:right w:type="dxa" w:w="90"/>
            </w:tcMar>
          </w:tcPr>
          <w:p>
            <w:r>
              <w:rPr>
                <w:rFonts w:ascii="Arial" w:cs="Arial" w:eastAsia="Arial" w:hAnsi="Arial"/>
                <w:sz w:val="21"/>
                <w:szCs w:val="21"/>
              </w:rPr>
              <w:t xml:space="preserve">March 9, 2026</w:t>
            </w:r>
          </w:p>
        </w:tc>
      </w:tr>
      <w:tr>
        <w:tc>
          <w:tcPr>
            <w:tcW w:type="dxa" w:w="1500"/>
            <w:tcBorders>
              <w:top w:val="none"/>
              <w:left w:val="none"/>
              <w:bottom w:val="none"/>
              <w:right w:val="none"/>
            </w:tcBorders>
            <w:tcMar>
              <w:top w:type="dxa" w:w="50"/>
              <w:left w:type="dxa" w:w="90"/>
              <w:bottom w:type="dxa" w:w="50"/>
              <w:right w:type="dxa" w:w="90"/>
            </w:tcMar>
          </w:tcPr>
          <w:p>
            <w:r>
              <w:rPr>
                <w:rFonts w:ascii="Arial" w:cs="Arial" w:eastAsia="Arial" w:hAnsi="Arial"/>
                <w:b/>
                <w:bCs/>
                <w:color w:val="0B2545"/>
                <w:sz w:val="21"/>
                <w:szCs w:val="21"/>
              </w:rPr>
              <w:t xml:space="preserve">RE:</w:t>
            </w:r>
          </w:p>
        </w:tc>
        <w:tc>
          <w:tcPr>
            <w:tcW w:type="dxa" w:w="7860"/>
            <w:tcBorders>
              <w:top w:val="none"/>
              <w:left w:val="none"/>
              <w:bottom w:val="none"/>
              <w:right w:val="none"/>
            </w:tcBorders>
            <w:tcMar>
              <w:top w:type="dxa" w:w="50"/>
              <w:left w:type="dxa" w:w="90"/>
              <w:bottom w:type="dxa" w:w="50"/>
              <w:right w:type="dxa" w:w="90"/>
            </w:tcMar>
          </w:tcPr>
          <w:p>
            <w:r>
              <w:rPr>
                <w:rFonts w:ascii="Arial" w:cs="Arial" w:eastAsia="Arial" w:hAnsi="Arial"/>
                <w:b/>
                <w:bCs/>
                <w:sz w:val="21"/>
                <w:szCs w:val="21"/>
              </w:rPr>
              <w:t xml:space="preserve">EXPANDED ANALYSIS: Nike Swoosh LLC Cross-Directorships — Full EDGAR Filing Corpus Reveals Structural Governance Gaps Invisible to Proxy-Only Review</w:t>
            </w:r>
          </w:p>
        </w:tc>
      </w:tr>
      <w:tr>
        <w:tc>
          <w:tcPr>
            <w:tcW w:type="dxa" w:w="1500"/>
            <w:tcBorders>
              <w:top w:val="none"/>
              <w:left w:val="none"/>
              <w:bottom w:val="none"/>
              <w:right w:val="none"/>
            </w:tcBorders>
            <w:tcMar>
              <w:top w:type="dxa" w:w="50"/>
              <w:left w:type="dxa" w:w="90"/>
              <w:bottom w:type="dxa" w:w="50"/>
              <w:right w:type="dxa" w:w="90"/>
            </w:tcMar>
          </w:tcPr>
          <w:p>
            <w:r>
              <w:rPr>
                <w:rFonts w:ascii="Arial" w:cs="Arial" w:eastAsia="Arial" w:hAnsi="Arial"/>
                <w:b/>
                <w:bCs/>
                <w:color w:val="0B2545"/>
                <w:sz w:val="21"/>
                <w:szCs w:val="21"/>
              </w:rPr>
              <w:t xml:space="preserve">COMPANY:</w:t>
            </w:r>
          </w:p>
        </w:tc>
        <w:tc>
          <w:tcPr>
            <w:tcW w:type="dxa" w:w="7860"/>
            <w:tcBorders>
              <w:top w:val="none"/>
              <w:left w:val="none"/>
              <w:bottom w:val="none"/>
              <w:right w:val="none"/>
            </w:tcBorders>
            <w:tcMar>
              <w:top w:type="dxa" w:w="50"/>
              <w:left w:type="dxa" w:w="90"/>
              <w:bottom w:type="dxa" w:w="50"/>
              <w:right w:type="dxa" w:w="90"/>
            </w:tcMar>
          </w:tcPr>
          <w:p>
            <w:r>
              <w:rPr>
                <w:rFonts w:ascii="Arial" w:cs="Arial" w:eastAsia="Arial" w:hAnsi="Arial"/>
                <w:sz w:val="21"/>
                <w:szCs w:val="21"/>
              </w:rPr>
              <w:t xml:space="preserve">Nike, Inc. (NYSE: NKE) | CIK 0000320187 | S&amp;P 500 Component</w:t>
            </w:r>
          </w:p>
        </w:tc>
      </w:tr>
      <w:tr>
        <w:tc>
          <w:tcPr>
            <w:tcW w:type="dxa" w:w="1500"/>
            <w:tcBorders>
              <w:top w:val="none"/>
              <w:left w:val="none"/>
              <w:bottom w:val="none"/>
              <w:right w:val="none"/>
            </w:tcBorders>
            <w:tcMar>
              <w:top w:type="dxa" w:w="50"/>
              <w:left w:type="dxa" w:w="90"/>
              <w:bottom w:type="dxa" w:w="50"/>
              <w:right w:type="dxa" w:w="90"/>
            </w:tcMar>
          </w:tcPr>
          <w:p>
            <w:r>
              <w:rPr>
                <w:rFonts w:ascii="Arial" w:cs="Arial" w:eastAsia="Arial" w:hAnsi="Arial"/>
                <w:b/>
                <w:bCs/>
                <w:color w:val="0B2545"/>
                <w:sz w:val="21"/>
                <w:szCs w:val="21"/>
              </w:rPr>
              <w:t xml:space="preserve">METHODOLOGY:</w:t>
            </w:r>
          </w:p>
        </w:tc>
        <w:tc>
          <w:tcPr>
            <w:tcW w:type="dxa" w:w="7860"/>
            <w:tcBorders>
              <w:top w:val="none"/>
              <w:left w:val="none"/>
              <w:bottom w:val="none"/>
              <w:right w:val="none"/>
            </w:tcBorders>
            <w:tcMar>
              <w:top w:type="dxa" w:w="50"/>
              <w:left w:type="dxa" w:w="90"/>
              <w:bottom w:type="dxa" w:w="50"/>
              <w:right w:type="dxa" w:w="90"/>
            </w:tcMar>
          </w:tcPr>
          <w:p>
            <w:r>
              <w:rPr>
                <w:rFonts w:ascii="Arial" w:cs="Arial" w:eastAsia="Arial" w:hAnsi="Arial"/>
                <w:sz w:val="21"/>
                <w:szCs w:val="21"/>
              </w:rPr>
              <w:t xml:space="preserve">12-category EDGAR filing audit: 10-K, 10-Q, 8-K, DEF 14A, Form 3/4/5, S-8, 424B2, SC 13D/G, CORRESP, 13F, Exhibits, Annual Meeting 8-K</w:t>
            </w:r>
          </w:p>
        </w:tc>
      </w:tr>
    </w:tbl>
    <w:p>
      <w:pPr>
        <w:pBdr>
          <w:bottom w:val="single" w:color="0B2545" w:sz="2" w:space="8"/>
        </w:pBdr>
        <w:spacing w:before="140"/>
      </w:pPr>
    </w:p>
    <w:p>
      <w:pPr>
        <w:pStyle w:val="Heading1"/>
      </w:pPr>
      <w:r>
        <w:t xml:space="preserve">Why the Full-Corpus Methodology Matters for Swoosh</w:t>
      </w:r>
    </w:p>
    <w:p>
      <w:pPr>
        <w:spacing w:before="0" w:after="120"/>
      </w:pPr>
      <w:r>
        <w:rPr>
          <w:rFonts w:ascii="Arial" w:cs="Arial" w:eastAsia="Arial" w:hAnsi="Arial"/>
          <w:b w:val="false"/>
          <w:bCs w:val="false"/>
          <w:i w:val="false"/>
          <w:iCs w:val="false"/>
          <w:color w:val="1A1A1A"/>
          <w:sz w:val="21"/>
          <w:szCs w:val="21"/>
        </w:rPr>
        <w:t xml:space="preserve">Prior ISS analyses of Nike’s governance have relied predominantly on the annual DEF 14A proxy statement. This memo demonstrates that limiting review to the proxy creates systematic blind spots around the Swoosh LLC governance arrangement. Specifically, the full-corpus audit reveals that the Swoosh cross-directorship is disclosed in NONE of the following filing types:</w:t>
      </w:r>
    </w:p>
    <w:p>
      <w:pPr>
        <w:spacing w:before="0" w:after="120"/>
      </w:pPr>
      <w:r>
        <w:rPr>
          <w:rFonts w:ascii="Arial" w:cs="Arial" w:eastAsia="Arial" w:hAnsi="Arial"/>
          <w:b w:val="false"/>
          <w:bCs w:val="false"/>
          <w:i w:val="false"/>
          <w:iCs w:val="false"/>
          <w:color w:val="1A1A1A"/>
          <w:sz w:val="21"/>
          <w:szCs w:val="21"/>
        </w:rPr>
        <w:t xml:space="preserve">10-K (annual report): Zero risk factors addressing dual-class governance concentration or controlling-shareholder influence. Exhibit 21 (subsidiaries) correctly excludes Swoosh (not a Nike subsidiary), meaning the entity controlling 75% of board elections has no presence in the 10-K filing at all.</w:t>
      </w:r>
    </w:p>
    <w:p>
      <w:pPr>
        <w:spacing w:before="0" w:after="120"/>
      </w:pPr>
      <w:r>
        <w:rPr>
          <w:rFonts w:ascii="Arial" w:cs="Arial" w:eastAsia="Arial" w:hAnsi="Arial"/>
          <w:b w:val="false"/>
          <w:bCs w:val="false"/>
          <w:i w:val="false"/>
          <w:iCs w:val="false"/>
          <w:color w:val="1A1A1A"/>
          <w:sz w:val="21"/>
          <w:szCs w:val="21"/>
        </w:rPr>
        <w:t xml:space="preserve">10-Q (quarterly reports): No quarterly reference to Swoosh governance or dual-class risk factors. Legal proceedings sections are clean. No subsequent-event disclosure of Swoosh governance changes.</w:t>
      </w:r>
    </w:p>
    <w:p>
      <w:pPr>
        <w:spacing w:before="0" w:after="120"/>
      </w:pPr>
      <w:r>
        <w:rPr>
          <w:rFonts w:ascii="Arial" w:cs="Arial" w:eastAsia="Arial" w:hAnsi="Arial"/>
          <w:b w:val="false"/>
          <w:bCs w:val="false"/>
          <w:i w:val="false"/>
          <w:iCs w:val="false"/>
          <w:color w:val="1A1A1A"/>
          <w:sz w:val="21"/>
          <w:szCs w:val="21"/>
        </w:rPr>
        <w:t xml:space="preserve">8-K (current reports): The CEO transition 8-K (October 22, 2019) filed six exhibits detailing Donahoe’s $53.5M package but never mentions that Donahoe is already a Swoosh LLC Independent Director. The February 18, 2020 leadership restructuring 8-K similarly omits Swoosh implications.</w:t>
      </w:r>
    </w:p>
    <w:p>
      <w:pPr>
        <w:spacing w:before="0" w:after="120"/>
      </w:pPr>
      <w:r>
        <w:rPr>
          <w:rFonts w:ascii="Arial" w:cs="Arial" w:eastAsia="Arial" w:hAnsi="Arial"/>
          <w:b w:val="false"/>
          <w:bCs w:val="false"/>
          <w:i w:val="false"/>
          <w:iCs w:val="false"/>
          <w:color w:val="1A1A1A"/>
          <w:sz w:val="21"/>
          <w:szCs w:val="21"/>
        </w:rPr>
        <w:t xml:space="preserve">424B2 (prospectus supplement): The $6B debt offering prospectus discloses Nike’s dual-class structure in the risk factor section but does NOT disclose the Swoosh governance arrangement or the cross-directorship overlap.</w:t>
      </w:r>
    </w:p>
    <w:p>
      <w:pPr>
        <w:spacing w:before="0" w:after="120"/>
      </w:pPr>
      <w:r>
        <w:rPr>
          <w:rFonts w:ascii="Arial" w:cs="Arial" w:eastAsia="Arial" w:hAnsi="Arial"/>
          <w:b w:val="false"/>
          <w:bCs w:val="false"/>
          <w:i w:val="false"/>
          <w:iCs w:val="false"/>
          <w:color w:val="1A1A1A"/>
          <w:sz w:val="21"/>
          <w:szCs w:val="21"/>
        </w:rPr>
        <w:t xml:space="preserve">SEC Correspondence: No SEC comment letter in 11+ years has challenged any aspect of Swoosh governance disclosure.</w:t>
      </w:r>
    </w:p>
    <w:p>
      <w:pPr>
        <w:spacing w:before="0" w:after="120"/>
      </w:pPr>
      <w:r>
        <w:rPr>
          <w:rFonts w:ascii="Arial" w:cs="Arial" w:eastAsia="Arial" w:hAnsi="Arial"/>
          <w:b w:val="false"/>
          <w:bCs w:val="false"/>
          <w:i w:val="false"/>
          <w:iCs w:val="false"/>
          <w:color w:val="1A1A1A"/>
          <w:sz w:val="21"/>
          <w:szCs w:val="21"/>
        </w:rPr>
        <w:t xml:space="preserve">The Swoosh cross-directorship is visible in exactly TWO places across the entire EDGAR corpus: (1) the 2015 Schedule 13D and its 2016 amendment; and (2) a single sentence in Travis Knight’s proxy biography. This information silo is structurally designed to prevent cross-referencing.</w:t>
      </w:r>
    </w:p>
    <w:p>
      <w:pPr>
        <w:pStyle w:val="Heading1"/>
      </w:pPr>
      <w:r>
        <w:t xml:space="preserve">The Triple-Insider Configuration: Filing-by-Filing Invisibility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2960"/>
      </w:tblGrid>
      <w:tr>
        <w:tc>
          <w:tcPr>
            <w:tcW w:type="dxa" w:w="1600"/>
            <w:tcBorders>
              <w:top w:val="single" w:color="AAAAAA" w:sz="1"/>
              <w:left w:val="single" w:color="AAAAAA" w:sz="1"/>
              <w:bottom w:val="single" w:color="AAAAAA" w:sz="1"/>
              <w:right w:val="single" w:color="AAAAAA" w:sz="1"/>
            </w:tcBorders>
            <w:shd w:fill="0B2545" w:val="clear"/>
            <w:tcMar>
              <w:top w:type="dxa" w:w="50"/>
              <w:left w:type="dxa" w:w="90"/>
              <w:bottom w:type="dxa" w:w="50"/>
              <w:right w:type="dxa" w:w="90"/>
            </w:tcMar>
          </w:tcPr>
          <w:p>
            <w:r>
              <w:rPr>
                <w:rFonts w:ascii="Arial" w:cs="Arial" w:eastAsia="Arial" w:hAnsi="Arial"/>
                <w:b/>
                <w:bCs/>
                <w:color w:val="FFFFFF"/>
                <w:sz w:val="16"/>
                <w:szCs w:val="16"/>
              </w:rPr>
              <w:t xml:space="preserve">FILING TYPE</w:t>
            </w:r>
          </w:p>
        </w:tc>
        <w:tc>
          <w:tcPr>
            <w:tcW w:type="dxa" w:w="1600"/>
            <w:tcBorders>
              <w:top w:val="single" w:color="AAAAAA" w:sz="1"/>
              <w:left w:val="single" w:color="AAAAAA" w:sz="1"/>
              <w:bottom w:val="single" w:color="AAAAAA" w:sz="1"/>
              <w:right w:val="single" w:color="AAAAAA" w:sz="1"/>
            </w:tcBorders>
            <w:shd w:fill="0B2545" w:val="clear"/>
            <w:tcMar>
              <w:top w:type="dxa" w:w="50"/>
              <w:left w:type="dxa" w:w="90"/>
              <w:bottom w:type="dxa" w:w="50"/>
              <w:right w:type="dxa" w:w="90"/>
            </w:tcMar>
          </w:tcPr>
          <w:p>
            <w:r>
              <w:rPr>
                <w:rFonts w:ascii="Arial" w:cs="Arial" w:eastAsia="Arial" w:hAnsi="Arial"/>
                <w:b/>
                <w:bCs/>
                <w:color w:val="FFFFFF"/>
                <w:sz w:val="16"/>
                <w:szCs w:val="16"/>
              </w:rPr>
              <w:t xml:space="preserve">PARKER ROLE</w:t>
            </w:r>
          </w:p>
        </w:tc>
        <w:tc>
          <w:tcPr>
            <w:tcW w:type="dxa" w:w="1600"/>
            <w:tcBorders>
              <w:top w:val="single" w:color="AAAAAA" w:sz="1"/>
              <w:left w:val="single" w:color="AAAAAA" w:sz="1"/>
              <w:bottom w:val="single" w:color="AAAAAA" w:sz="1"/>
              <w:right w:val="single" w:color="AAAAAA" w:sz="1"/>
            </w:tcBorders>
            <w:shd w:fill="0B2545" w:val="clear"/>
            <w:tcMar>
              <w:top w:type="dxa" w:w="50"/>
              <w:left w:type="dxa" w:w="90"/>
              <w:bottom w:type="dxa" w:w="50"/>
              <w:right w:type="dxa" w:w="90"/>
            </w:tcMar>
          </w:tcPr>
          <w:p>
            <w:r>
              <w:rPr>
                <w:rFonts w:ascii="Arial" w:cs="Arial" w:eastAsia="Arial" w:hAnsi="Arial"/>
                <w:b/>
                <w:bCs/>
                <w:color w:val="FFFFFF"/>
                <w:sz w:val="16"/>
                <w:szCs w:val="16"/>
              </w:rPr>
              <w:t xml:space="preserve">DONAHOE ROLE</w:t>
            </w:r>
          </w:p>
        </w:tc>
        <w:tc>
          <w:tcPr>
            <w:tcW w:type="dxa" w:w="1600"/>
            <w:tcBorders>
              <w:top w:val="single" w:color="AAAAAA" w:sz="1"/>
              <w:left w:val="single" w:color="AAAAAA" w:sz="1"/>
              <w:bottom w:val="single" w:color="AAAAAA" w:sz="1"/>
              <w:right w:val="single" w:color="AAAAAA" w:sz="1"/>
            </w:tcBorders>
            <w:shd w:fill="0B2545" w:val="clear"/>
            <w:tcMar>
              <w:top w:type="dxa" w:w="50"/>
              <w:left w:type="dxa" w:w="90"/>
              <w:bottom w:type="dxa" w:w="50"/>
              <w:right w:type="dxa" w:w="90"/>
            </w:tcMar>
          </w:tcPr>
          <w:p>
            <w:r>
              <w:rPr>
                <w:rFonts w:ascii="Arial" w:cs="Arial" w:eastAsia="Arial" w:hAnsi="Arial"/>
                <w:b/>
                <w:bCs/>
                <w:color w:val="FFFFFF"/>
                <w:sz w:val="16"/>
                <w:szCs w:val="16"/>
              </w:rPr>
              <w:t xml:space="preserve">GRAF ROLE</w:t>
            </w:r>
          </w:p>
        </w:tc>
        <w:tc>
          <w:tcPr>
            <w:tcW w:type="dxa" w:w="2960"/>
            <w:tcBorders>
              <w:top w:val="single" w:color="AAAAAA" w:sz="1"/>
              <w:left w:val="single" w:color="AAAAAA" w:sz="1"/>
              <w:bottom w:val="single" w:color="AAAAAA" w:sz="1"/>
              <w:right w:val="single" w:color="AAAAAA" w:sz="1"/>
            </w:tcBorders>
            <w:shd w:fill="0B2545" w:val="clear"/>
            <w:tcMar>
              <w:top w:type="dxa" w:w="50"/>
              <w:left w:type="dxa" w:w="90"/>
              <w:bottom w:type="dxa" w:w="50"/>
              <w:right w:type="dxa" w:w="90"/>
            </w:tcMar>
          </w:tcPr>
          <w:p>
            <w:r>
              <w:rPr>
                <w:rFonts w:ascii="Arial" w:cs="Arial" w:eastAsia="Arial" w:hAnsi="Arial"/>
                <w:b/>
                <w:bCs/>
                <w:color w:val="FFFFFF"/>
                <w:sz w:val="16"/>
                <w:szCs w:val="16"/>
              </w:rPr>
              <w:t xml:space="preserve">SWOOSH DISCLOSURE?</w:t>
            </w:r>
          </w:p>
        </w:tc>
      </w:tr>
      <w:tr>
        <w:tc>
          <w:tcPr>
            <w:tcW w:type="dxa" w:w="1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10-K FY2020</w:t>
            </w:r>
          </w:p>
        </w:tc>
        <w:tc>
          <w:tcPr>
            <w:tcW w:type="dxa" w:w="1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Listed as Exec Chairman in Part I officer bios</w:t>
            </w:r>
          </w:p>
        </w:tc>
        <w:tc>
          <w:tcPr>
            <w:tcW w:type="dxa" w:w="1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Listed as CEO in Part I officer bios</w:t>
            </w:r>
          </w:p>
        </w:tc>
        <w:tc>
          <w:tcPr>
            <w:tcW w:type="dxa" w:w="1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Not mentioned (not executive officer)</w:t>
            </w:r>
          </w:p>
        </w:tc>
        <w:tc>
          <w:tcPr>
            <w:tcW w:type="dxa" w:w="29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B91C1C"/>
                <w:sz w:val="16"/>
                <w:szCs w:val="16"/>
              </w:rPr>
              <w:t xml:space="preserve">NONE. Not in risk factors, exhibits, or Part III</w:t>
            </w:r>
          </w:p>
        </w:tc>
      </w:tr>
      <w:tr>
        <w:tc>
          <w:tcPr>
            <w:tcW w:type="dxa" w:w="1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10-Q (all 3)</w:t>
            </w:r>
          </w:p>
        </w:tc>
        <w:tc>
          <w:tcPr>
            <w:tcW w:type="dxa" w:w="1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Not individually named</w:t>
            </w:r>
          </w:p>
        </w:tc>
        <w:tc>
          <w:tcPr>
            <w:tcW w:type="dxa" w:w="1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Not individually named</w:t>
            </w:r>
          </w:p>
        </w:tc>
        <w:tc>
          <w:tcPr>
            <w:tcW w:type="dxa" w:w="1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Not individually named</w:t>
            </w:r>
          </w:p>
        </w:tc>
        <w:tc>
          <w:tcPr>
            <w:tcW w:type="dxa" w:w="29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B91C1C"/>
                <w:sz w:val="16"/>
                <w:szCs w:val="16"/>
              </w:rPr>
              <w:t xml:space="preserve">NONE. No Swoosh references in any quarterly filing</w:t>
            </w:r>
          </w:p>
        </w:tc>
      </w:tr>
      <w:tr>
        <w:tc>
          <w:tcPr>
            <w:tcW w:type="dxa" w:w="1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8-K Oct 2019</w:t>
            </w:r>
          </w:p>
        </w:tc>
        <w:tc>
          <w:tcPr>
            <w:tcW w:type="dxa" w:w="1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6 exhibits re: transition</w:t>
            </w:r>
          </w:p>
        </w:tc>
        <w:tc>
          <w:tcPr>
            <w:tcW w:type="dxa" w:w="1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6 exhibits re: appointment</w:t>
            </w:r>
          </w:p>
        </w:tc>
        <w:tc>
          <w:tcPr>
            <w:tcW w:type="dxa" w:w="1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Not mentioned</w:t>
            </w:r>
          </w:p>
        </w:tc>
        <w:tc>
          <w:tcPr>
            <w:tcW w:type="dxa" w:w="29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B91C1C"/>
                <w:sz w:val="16"/>
                <w:szCs w:val="16"/>
              </w:rPr>
              <w:t xml:space="preserve">NONE. Donahoe’s Swoosh directorship omitted from CEO appointment disclosure</w:t>
            </w:r>
          </w:p>
        </w:tc>
      </w:tr>
      <w:tr>
        <w:tc>
          <w:tcPr>
            <w:tcW w:type="dxa" w:w="1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8-K Feb 2020</w:t>
            </w:r>
          </w:p>
        </w:tc>
        <w:tc>
          <w:tcPr>
            <w:tcW w:type="dxa" w:w="1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Not mentioned</w:t>
            </w:r>
          </w:p>
        </w:tc>
        <w:tc>
          <w:tcPr>
            <w:tcW w:type="dxa" w:w="1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Not mentioned</w:t>
            </w:r>
          </w:p>
        </w:tc>
        <w:tc>
          <w:tcPr>
            <w:tcW w:type="dxa" w:w="1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Not mentioned</w:t>
            </w:r>
          </w:p>
        </w:tc>
        <w:tc>
          <w:tcPr>
            <w:tcW w:type="dxa" w:w="29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B91C1C"/>
                <w:sz w:val="16"/>
                <w:szCs w:val="16"/>
              </w:rPr>
              <w:t xml:space="preserve">NONE. Swoosh implications of leadership restructuring not addressed</w:t>
            </w:r>
          </w:p>
        </w:tc>
      </w:tr>
      <w:tr>
        <w:tc>
          <w:tcPr>
            <w:tcW w:type="dxa" w:w="1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DEF 14A FY2020</w:t>
            </w:r>
          </w:p>
        </w:tc>
        <w:tc>
          <w:tcPr>
            <w:tcW w:type="dxa" w:w="1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Bio: CEO→Exec Chair</w:t>
            </w:r>
          </w:p>
        </w:tc>
        <w:tc>
          <w:tcPr>
            <w:tcW w:type="dxa" w:w="1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Bio: ServiceNow/eBay/PayPal</w:t>
            </w:r>
          </w:p>
        </w:tc>
        <w:tc>
          <w:tcPr>
            <w:tcW w:type="dxa" w:w="1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Bio: FedEx EVP/CFO</w:t>
            </w:r>
          </w:p>
        </w:tc>
        <w:tc>
          <w:tcPr>
            <w:tcW w:type="dxa" w:w="29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B91C1C"/>
                <w:sz w:val="16"/>
                <w:szCs w:val="16"/>
              </w:rPr>
              <w:t xml:space="preserve">ONLY Knight bio mentions Swoosh. Parker/Donahoe/Graf bios DO NOT list Swoosh directorship</w:t>
            </w:r>
          </w:p>
        </w:tc>
      </w:tr>
      <w:tr>
        <w:tc>
          <w:tcPr>
            <w:tcW w:type="dxa" w:w="1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424B2 ($6B)</w:t>
            </w:r>
          </w:p>
        </w:tc>
        <w:tc>
          <w:tcPr>
            <w:tcW w:type="dxa" w:w="1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Not individually named</w:t>
            </w:r>
          </w:p>
        </w:tc>
        <w:tc>
          <w:tcPr>
            <w:tcW w:type="dxa" w:w="1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Not individually named</w:t>
            </w:r>
          </w:p>
        </w:tc>
        <w:tc>
          <w:tcPr>
            <w:tcW w:type="dxa" w:w="1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Not individually named</w:t>
            </w:r>
          </w:p>
        </w:tc>
        <w:tc>
          <w:tcPr>
            <w:tcW w:type="dxa" w:w="29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B91C1C"/>
                <w:sz w:val="16"/>
                <w:szCs w:val="16"/>
              </w:rPr>
              <w:t xml:space="preserve">Dual-class structure disclosed as risk factor. Swoosh governance arrangement NOT disclosed</w:t>
            </w:r>
          </w:p>
        </w:tc>
      </w:tr>
      <w:tr>
        <w:tc>
          <w:tcPr>
            <w:tcW w:type="dxa" w:w="1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SC 13D (2015)</w:t>
            </w:r>
          </w:p>
        </w:tc>
        <w:tc>
          <w:tcPr>
            <w:tcW w:type="dxa" w:w="1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Named as Independent Director</w:t>
            </w:r>
          </w:p>
        </w:tc>
        <w:tc>
          <w:tcPr>
            <w:tcW w:type="dxa" w:w="1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Named as Independent Director</w:t>
            </w:r>
          </w:p>
        </w:tc>
        <w:tc>
          <w:tcPr>
            <w:tcW w:type="dxa" w:w="1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Named as Independent Director</w:t>
            </w:r>
          </w:p>
        </w:tc>
        <w:tc>
          <w:tcPr>
            <w:tcW w:type="dxa" w:w="2960"/>
            <w:tcBorders>
              <w:top w:val="single" w:color="AAAAAA" w:sz="1"/>
              <w:left w:val="single" w:color="AAAAAA" w:sz="1"/>
              <w:bottom w:val="single" w:color="AAAAAA" w:sz="1"/>
              <w:right w:val="single" w:color="AAAAAA" w:sz="1"/>
            </w:tcBorders>
            <w:shd w:fill="D1FAE5" w:val="clear"/>
            <w:tcMar>
              <w:top w:type="dxa" w:w="50"/>
              <w:left w:type="dxa" w:w="90"/>
              <w:bottom w:type="dxa" w:w="50"/>
              <w:right w:type="dxa" w:w="90"/>
            </w:tcMar>
          </w:tcPr>
          <w:p>
            <w:r>
              <w:rPr>
                <w:rFonts w:ascii="Arial" w:cs="Arial" w:eastAsia="Arial" w:hAnsi="Arial"/>
                <w:b w:val="false"/>
                <w:bCs w:val="false"/>
                <w:color w:val="1A1A1A"/>
                <w:sz w:val="16"/>
                <w:szCs w:val="16"/>
              </w:rPr>
              <w:t xml:space="preserve">FULL DISCLOSURE. Conflict provision. Protector mechanism. But filing is 4+ years stale</w:t>
            </w:r>
          </w:p>
        </w:tc>
      </w:tr>
      <w:tr>
        <w:tc>
          <w:tcPr>
            <w:tcW w:type="dxa" w:w="1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CORRESP</w:t>
            </w:r>
          </w:p>
        </w:tc>
        <w:tc>
          <w:tcPr>
            <w:tcW w:type="dxa" w:w="1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N/A</w:t>
            </w:r>
          </w:p>
        </w:tc>
        <w:tc>
          <w:tcPr>
            <w:tcW w:type="dxa" w:w="1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N/A</w:t>
            </w:r>
          </w:p>
        </w:tc>
        <w:tc>
          <w:tcPr>
            <w:tcW w:type="dxa" w:w="1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N/A</w:t>
            </w:r>
          </w:p>
        </w:tc>
        <w:tc>
          <w:tcPr>
            <w:tcW w:type="dxa" w:w="29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B91C1C"/>
                <w:sz w:val="16"/>
                <w:szCs w:val="16"/>
              </w:rPr>
              <w:t xml:space="preserve">No SEC comment letter has EVER addressed Swoosh governance disclosure</w:t>
            </w:r>
          </w:p>
        </w:tc>
      </w:tr>
    </w:tbl>
    <w:p>
      <w:r>
        <w:br w:type="page"/>
      </w:r>
    </w:p>
    <w:p>
      <w:pPr>
        <w:pStyle w:val="Heading1"/>
      </w:pPr>
      <w:r>
        <w:t xml:space="preserve">Graf’s Audit Independence: The Full-Corpus Evidence</w:t>
      </w:r>
    </w:p>
    <w:p>
      <w:pPr>
        <w:spacing w:before="0" w:after="120"/>
      </w:pPr>
      <w:r>
        <w:rPr>
          <w:rFonts w:ascii="Arial" w:cs="Arial" w:eastAsia="Arial" w:hAnsi="Arial"/>
          <w:b w:val="false"/>
          <w:bCs w:val="false"/>
          <w:i w:val="false"/>
          <w:iCs w:val="false"/>
          <w:color w:val="1A1A1A"/>
          <w:sz w:val="21"/>
          <w:szCs w:val="21"/>
        </w:rPr>
        <w:t xml:space="preserve">The full-corpus audit reveals that Alan B. Graf Jr.’s structural conflict is more deeply embedded than proxy-only analysis suggests. As Nike’s Audit &amp; Finance Committee Chair (13 meetings in FY2020), Graf oversees:</w:t>
      </w:r>
    </w:p>
    <w:p>
      <w:pPr>
        <w:spacing w:before="0" w:after="120"/>
      </w:pPr>
      <w:r>
        <w:rPr>
          <w:rFonts w:ascii="Arial" w:cs="Arial" w:eastAsia="Arial" w:hAnsi="Arial"/>
          <w:b w:val="false"/>
          <w:bCs w:val="false"/>
          <w:i w:val="false"/>
          <w:iCs w:val="false"/>
          <w:color w:val="1A1A1A"/>
          <w:sz w:val="21"/>
          <w:szCs w:val="21"/>
        </w:rPr>
        <w:t xml:space="preserve">Financial reporting reviewed in: 10-K (annual financials he certifies via Audit Committee report), 10-Q (quarterly financials), 8-K (earnings releases and material events), and 424B2 (representations to bond investors in the $6B offering).</w:t>
      </w:r>
    </w:p>
    <w:p>
      <w:pPr>
        <w:spacing w:before="0" w:after="120"/>
      </w:pPr>
      <w:r>
        <w:rPr>
          <w:rFonts w:ascii="Arial" w:cs="Arial" w:eastAsia="Arial" w:hAnsi="Arial"/>
          <w:b w:val="false"/>
          <w:bCs w:val="false"/>
          <w:i w:val="false"/>
          <w:iCs w:val="false"/>
          <w:color w:val="1A1A1A"/>
          <w:sz w:val="21"/>
          <w:szCs w:val="21"/>
        </w:rPr>
        <w:t xml:space="preserve">Internal controls assessed in: SOX 404 management assertion (10-K Part II, Item 9A) and PricewaterhouseCoopers’ integrated audit opinion.</w:t>
      </w:r>
    </w:p>
    <w:p>
      <w:pPr>
        <w:spacing w:before="0" w:after="120"/>
      </w:pPr>
      <w:r>
        <w:rPr>
          <w:rFonts w:ascii="Arial" w:cs="Arial" w:eastAsia="Arial" w:hAnsi="Arial"/>
          <w:b w:val="false"/>
          <w:bCs w:val="false"/>
          <w:i w:val="false"/>
          <w:iCs w:val="false"/>
          <w:color w:val="1A1A1A"/>
          <w:sz w:val="21"/>
          <w:szCs w:val="21"/>
        </w:rPr>
        <w:t xml:space="preserve">Related party transactions disclosed in: DEF 14A proxy statement (which his committee is responsible for reviewing under its charter).</w:t>
      </w:r>
    </w:p>
    <w:p>
      <w:pPr>
        <w:spacing w:before="0" w:after="120"/>
      </w:pPr>
      <w:r>
        <w:rPr>
          <w:rFonts w:ascii="Arial" w:cs="Arial" w:eastAsia="Arial" w:hAnsi="Arial"/>
          <w:b w:val="false"/>
          <w:bCs w:val="false"/>
          <w:i w:val="false"/>
          <w:iCs w:val="false"/>
          <w:color w:val="1A1A1A"/>
          <w:sz w:val="21"/>
          <w:szCs w:val="21"/>
        </w:rPr>
        <w:t xml:space="preserve">In every one of these filing types, Graf is overseeing disclosures about the company whose controlling shareholder he co-governs alongside the CEO (Donahoe) and Executive Chairman (Parker) he audits. The Audit Committee charter published on nike.com describes the committee’s responsibility to review related party transactions — yet the committee does not appear to have identified the Swoosh governance overlap as a related party matter requiring enhanced disclosure.</w:t>
      </w:r>
    </w:p>
    <w:p>
      <w:pPr>
        <w:spacing w:before="0" w:after="120"/>
      </w:pPr>
      <w:r>
        <w:rPr>
          <w:rFonts w:ascii="Arial" w:cs="Arial" w:eastAsia="Arial" w:hAnsi="Arial"/>
          <w:b w:val="false"/>
          <w:bCs w:val="false"/>
          <w:i w:val="false"/>
          <w:iCs w:val="false"/>
          <w:color w:val="1A1A1A"/>
          <w:sz w:val="21"/>
          <w:szCs w:val="21"/>
        </w:rPr>
        <w:t xml:space="preserve">The FY2020 proxy confirms PricewaterhouseCoopers received $15.2M in audit fees and $3.2M in non-audit fees. PwC’s engagement letter is with the Audit Committee chaired by Graf. At no point in the public filing record does any document address whether PwC was informed of, or asked to evaluate, the Swoosh cross-directorship as a related-party consideration.</w:t>
      </w:r>
    </w:p>
    <w:p>
      <w:pPr>
        <w:pStyle w:val="Heading1"/>
      </w:pPr>
      <w:r>
        <w:t xml:space="preserve">What ISS QualityScore Cannot See: The Filing-Type Silo Problem</w:t>
      </w:r>
    </w:p>
    <w:p>
      <w:pPr>
        <w:spacing w:before="0" w:after="120"/>
      </w:pPr>
      <w:r>
        <w:rPr>
          <w:rFonts w:ascii="Arial" w:cs="Arial" w:eastAsia="Arial" w:hAnsi="Arial"/>
          <w:b w:val="false"/>
          <w:bCs w:val="false"/>
          <w:i w:val="false"/>
          <w:iCs w:val="false"/>
          <w:color w:val="1A1A1A"/>
          <w:sz w:val="21"/>
          <w:szCs w:val="21"/>
        </w:rPr>
        <w:t xml:space="preserve">ISS’s governance scoring methodology relies primarily on proxy statement data, supplemented by public governance documents (committee charters, bylaws, corporate governance guidelines). The Swoosh cross-directorship demonstrates a structural limitation: when governance information exists exclusively in a Schedule 13D — a filing type that ISS does not systematically cross-reference against proxy data — it is invisible to the scoring methodology.</w:t>
      </w:r>
    </w:p>
    <w:p>
      <w:pPr>
        <w:spacing w:before="0" w:after="120"/>
      </w:pPr>
      <w:r>
        <w:rPr>
          <w:rFonts w:ascii="Arial" w:cs="Arial" w:eastAsia="Arial" w:hAnsi="Arial"/>
          <w:b w:val="false"/>
          <w:bCs w:val="false"/>
          <w:i w:val="false"/>
          <w:iCs w:val="false"/>
          <w:color w:val="1A1A1A"/>
          <w:sz w:val="21"/>
          <w:szCs w:val="21"/>
        </w:rPr>
        <w:t xml:space="preserve">The practical impact on Nike’s QualityScore is significant. The Board Structure pillar evaluates director independence without knowledge that 3 of 12 directors simultaneously govern the controlling shareholder. The Shareholder Rights pillar evaluates dual-class governance based on the proxy’s voting power disclosures but without knowledge that the controlling entity’s board is entirely composed of company insiders. The Compensation pillar evaluates executive pay without knowledge that the Compensation Committee operates under a board 75% elected by an entity whose governance body includes the CEO and Executive Chairman whose pay it sets.</w:t>
      </w:r>
    </w:p>
    <w:p>
      <w:pPr>
        <w:spacing w:before="0" w:after="120"/>
      </w:pPr>
      <w:r>
        <w:rPr>
          <w:rFonts w:ascii="Arial" w:cs="Arial" w:eastAsia="Arial" w:hAnsi="Arial"/>
          <w:b w:val="false"/>
          <w:bCs w:val="false"/>
          <w:i w:val="false"/>
          <w:iCs w:val="false"/>
          <w:color w:val="1A1A1A"/>
          <w:sz w:val="21"/>
          <w:szCs w:val="21"/>
        </w:rPr>
        <w:t xml:space="preserve">No QualityScore metric currently captures: (a) controlling-entity cross-directorships; (b) stale 13D filings for significant shareholders; (c) the absence of dual-class governance risk factors in the 10-K; (d) the 11-year SEC comment letter vacuum; or (e) the insider trading policy’s complete invisibility in the public filing record.</w:t>
      </w:r>
    </w:p>
    <w:p>
      <w:pPr>
        <w:pStyle w:val="Heading1"/>
      </w:pPr>
      <w:r>
        <w:t xml:space="preserve">Recommendations — Full-Corpus Informed</w:t>
      </w:r>
    </w:p>
    <w:p>
      <w:pPr>
        <w:pStyle w:val="Heading2"/>
      </w:pPr>
      <w:r>
        <w:t xml:space="preserve">Immediate: Director Profile Updates</w:t>
      </w:r>
    </w:p>
    <w:p>
      <w:pPr>
        <w:spacing w:before="0" w:after="120"/>
      </w:pPr>
      <w:r>
        <w:rPr>
          <w:rFonts w:ascii="Arial" w:cs="Arial" w:eastAsia="Arial" w:hAnsi="Arial"/>
          <w:b w:val="false"/>
          <w:bCs w:val="false"/>
          <w:i w:val="false"/>
          <w:iCs w:val="false"/>
          <w:color w:val="1A1A1A"/>
          <w:sz w:val="21"/>
          <w:szCs w:val="21"/>
        </w:rPr>
        <w:t xml:space="preserve">Update Parker, Donahoe, and Graf profiles to reflect Swoosh LLC directorships. Add annotation that the triple-insider configuration has persisted since January 13, 2020 without proxy disclosure, 13D amendment, or ISS detection. Flag that the information source is a 2015 Schedule 13D last amended in 2016 — not the proxy.</w:t>
      </w:r>
    </w:p>
    <w:p>
      <w:pPr>
        <w:pStyle w:val="Heading2"/>
      </w:pPr>
      <w:r>
        <w:t xml:space="preserve">Near-Term: QualityScore Methodology Enhancement</w:t>
      </w:r>
    </w:p>
    <w:p>
      <w:pPr>
        <w:spacing w:before="0" w:after="120"/>
      </w:pPr>
      <w:r>
        <w:rPr>
          <w:rFonts w:ascii="Arial" w:cs="Arial" w:eastAsia="Arial" w:hAnsi="Arial"/>
          <w:b w:val="false"/>
          <w:bCs w:val="false"/>
          <w:i w:val="false"/>
          <w:iCs w:val="false"/>
          <w:color w:val="1A1A1A"/>
          <w:sz w:val="21"/>
          <w:szCs w:val="21"/>
        </w:rPr>
        <w:t xml:space="preserve">Develop a cross-referencing protocol for dual-class companies: systematically check Schedule 13D/G filings for controlling entities against proxy director biographies. Pilot the protocol with Nike and the approximately 45 other S&amp;P 500 companies with dual-class structures. The cost is modest (one additional EDGAR query per company per year) and the governance information yield is potentially substantial.</w:t>
      </w:r>
    </w:p>
    <w:p>
      <w:pPr>
        <w:pStyle w:val="Heading2"/>
      </w:pPr>
      <w:r>
        <w:t xml:space="preserve">Medium-Term: Engagement Escalation</w:t>
      </w:r>
    </w:p>
    <w:p>
      <w:pPr>
        <w:spacing w:before="0" w:after="120"/>
      </w:pPr>
      <w:r>
        <w:rPr>
          <w:rFonts w:ascii="Arial" w:cs="Arial" w:eastAsia="Arial" w:hAnsi="Arial"/>
          <w:b w:val="false"/>
          <w:bCs w:val="false"/>
          <w:i w:val="false"/>
          <w:iCs w:val="false"/>
          <w:color w:val="1A1A1A"/>
          <w:sz w:val="21"/>
          <w:szCs w:val="21"/>
        </w:rPr>
        <w:t xml:space="preserve">Engage Nike’s corporate secretary requesting: (a) confirmation of current Swoosh board composition; (b) whether any 13D amendment is planned; (c) whether the Audit Committee has formally evaluated the Graf cross-directorship conflict; (d) whether the Protectors (Wolfson, Chapa) remain in their roles; (e) a timeline for the 2050 sunset conversion.</w:t>
      </w:r>
    </w:p>
    <w:p>
      <w:pPr>
        <w:pStyle w:val="Heading2"/>
      </w:pPr>
      <w:r>
        <w:t xml:space="preserve">Long-Term: Policy Position</w:t>
      </w:r>
    </w:p>
    <w:p>
      <w:pPr>
        <w:spacing w:before="0" w:after="120"/>
      </w:pPr>
      <w:r>
        <w:rPr>
          <w:rFonts w:ascii="Arial" w:cs="Arial" w:eastAsia="Arial" w:hAnsi="Arial"/>
          <w:b w:val="false"/>
          <w:bCs w:val="false"/>
          <w:i w:val="false"/>
          <w:iCs w:val="false"/>
          <w:color w:val="1A1A1A"/>
          <w:sz w:val="21"/>
          <w:szCs w:val="21"/>
        </w:rPr>
        <w:t xml:space="preserve">Consider a policy statement recommending that dual-class companies disclose controlling-entity governance structures in the proxy’s corporate governance section (not just beneficial ownership tables), and that director biographies include all governance roles at entities holding 5%+ of company stock. Such a policy would close the information silo that the full-corpus audit identifies as the root cause of the Swoosh invisibility.</w:t>
      </w:r>
    </w:p>
    <w:p>
      <w:r>
        <w:br w:type="page"/>
      </w:r>
    </w:p>
    <w:p>
      <w:pPr>
        <w:pStyle w:val="Heading1"/>
      </w:pPr>
      <w:r>
        <w:t xml:space="preserve">Appendix: FY2020 EDGAR Filing Inventory — Swoosh Cross-Reference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2200"/>
        <w:gridCol w:w="4060"/>
      </w:tblGrid>
      <w:tr>
        <w:tc>
          <w:tcPr>
            <w:tcW w:type="dxa" w:w="1300"/>
            <w:tcBorders>
              <w:top w:val="single" w:color="AAAAAA" w:sz="1"/>
              <w:left w:val="single" w:color="AAAAAA" w:sz="1"/>
              <w:bottom w:val="single" w:color="AAAAAA" w:sz="1"/>
              <w:right w:val="single" w:color="AAAAAA" w:sz="1"/>
            </w:tcBorders>
            <w:shd w:fill="0B2545" w:val="clear"/>
            <w:tcMar>
              <w:top w:type="dxa" w:w="50"/>
              <w:left w:type="dxa" w:w="90"/>
              <w:bottom w:type="dxa" w:w="50"/>
              <w:right w:type="dxa" w:w="90"/>
            </w:tcMar>
          </w:tcPr>
          <w:p>
            <w:r>
              <w:rPr>
                <w:rFonts w:ascii="Arial" w:cs="Arial" w:eastAsia="Arial" w:hAnsi="Arial"/>
                <w:b/>
                <w:bCs/>
                <w:color w:val="FFFFFF"/>
                <w:sz w:val="16"/>
                <w:szCs w:val="16"/>
              </w:rPr>
              <w:t xml:space="preserve">FILING TYPE</w:t>
            </w:r>
          </w:p>
        </w:tc>
        <w:tc>
          <w:tcPr>
            <w:tcW w:type="dxa" w:w="1800"/>
            <w:tcBorders>
              <w:top w:val="single" w:color="AAAAAA" w:sz="1"/>
              <w:left w:val="single" w:color="AAAAAA" w:sz="1"/>
              <w:bottom w:val="single" w:color="AAAAAA" w:sz="1"/>
              <w:right w:val="single" w:color="AAAAAA" w:sz="1"/>
            </w:tcBorders>
            <w:shd w:fill="0B2545" w:val="clear"/>
            <w:tcMar>
              <w:top w:type="dxa" w:w="50"/>
              <w:left w:type="dxa" w:w="90"/>
              <w:bottom w:type="dxa" w:w="50"/>
              <w:right w:type="dxa" w:w="90"/>
            </w:tcMar>
          </w:tcPr>
          <w:p>
            <w:r>
              <w:rPr>
                <w:rFonts w:ascii="Arial" w:cs="Arial" w:eastAsia="Arial" w:hAnsi="Arial"/>
                <w:b/>
                <w:bCs/>
                <w:color w:val="FFFFFF"/>
                <w:sz w:val="16"/>
                <w:szCs w:val="16"/>
              </w:rPr>
              <w:t xml:space="preserve">ACCESSION(S)</w:t>
            </w:r>
          </w:p>
        </w:tc>
        <w:tc>
          <w:tcPr>
            <w:tcW w:type="dxa" w:w="2200"/>
            <w:tcBorders>
              <w:top w:val="single" w:color="AAAAAA" w:sz="1"/>
              <w:left w:val="single" w:color="AAAAAA" w:sz="1"/>
              <w:bottom w:val="single" w:color="AAAAAA" w:sz="1"/>
              <w:right w:val="single" w:color="AAAAAA" w:sz="1"/>
            </w:tcBorders>
            <w:shd w:fill="0B2545" w:val="clear"/>
            <w:tcMar>
              <w:top w:type="dxa" w:w="50"/>
              <w:left w:type="dxa" w:w="90"/>
              <w:bottom w:type="dxa" w:w="50"/>
              <w:right w:type="dxa" w:w="90"/>
            </w:tcMar>
          </w:tcPr>
          <w:p>
            <w:r>
              <w:rPr>
                <w:rFonts w:ascii="Arial" w:cs="Arial" w:eastAsia="Arial" w:hAnsi="Arial"/>
                <w:b/>
                <w:bCs/>
                <w:color w:val="FFFFFF"/>
                <w:sz w:val="16"/>
                <w:szCs w:val="16"/>
              </w:rPr>
              <w:t xml:space="preserve">SWOOSH CONTENT</w:t>
            </w:r>
          </w:p>
        </w:tc>
        <w:tc>
          <w:tcPr>
            <w:tcW w:type="dxa" w:w="4060"/>
            <w:tcBorders>
              <w:top w:val="single" w:color="AAAAAA" w:sz="1"/>
              <w:left w:val="single" w:color="AAAAAA" w:sz="1"/>
              <w:bottom w:val="single" w:color="AAAAAA" w:sz="1"/>
              <w:right w:val="single" w:color="AAAAAA" w:sz="1"/>
            </w:tcBorders>
            <w:shd w:fill="0B2545" w:val="clear"/>
            <w:tcMar>
              <w:top w:type="dxa" w:w="50"/>
              <w:left w:type="dxa" w:w="90"/>
              <w:bottom w:type="dxa" w:w="50"/>
              <w:right w:type="dxa" w:w="90"/>
            </w:tcMar>
          </w:tcPr>
          <w:p>
            <w:r>
              <w:rPr>
                <w:rFonts w:ascii="Arial" w:cs="Arial" w:eastAsia="Arial" w:hAnsi="Arial"/>
                <w:b/>
                <w:bCs/>
                <w:color w:val="FFFFFF"/>
                <w:sz w:val="16"/>
                <w:szCs w:val="16"/>
              </w:rPr>
              <w:t xml:space="preserve">FORENSIC SIGNIFICANCE</w:t>
            </w:r>
          </w:p>
        </w:tc>
      </w:tr>
      <w:tr>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10-K</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0000320187-20-000047</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B91C1C"/>
                <w:sz w:val="16"/>
                <w:szCs w:val="16"/>
              </w:rPr>
              <w:t xml:space="preserve">ZERO</w:t>
            </w:r>
          </w:p>
        </w:tc>
        <w:tc>
          <w:tcPr>
            <w:tcW w:type="dxa" w:w="40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22 risk factors; none on dual-class. No Exhibit 19 (ITP). Ex 21 correctly excludes Swoosh</w:t>
            </w:r>
          </w:p>
        </w:tc>
      </w:tr>
      <w:tr>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10-Q (x3)</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Three quarterly filings</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B91C1C"/>
                <w:sz w:val="16"/>
                <w:szCs w:val="16"/>
              </w:rPr>
              <w:t xml:space="preserve">ZERO</w:t>
            </w:r>
          </w:p>
        </w:tc>
        <w:tc>
          <w:tcPr>
            <w:tcW w:type="dxa" w:w="40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Clean legal proceedings. No Swoosh or dual-class risk factor updates</w:t>
            </w:r>
          </w:p>
        </w:tc>
      </w:tr>
      <w:tr>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8-K (x8–9)</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Multiple accessions</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B91C1C"/>
                <w:sz w:val="16"/>
                <w:szCs w:val="16"/>
              </w:rPr>
              <w:t xml:space="preserve">ZERO</w:t>
            </w:r>
          </w:p>
        </w:tc>
        <w:tc>
          <w:tcPr>
            <w:tcW w:type="dxa" w:w="40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CEO transition + restructuring + COVID + earnings. Donahoe’s Swoosh role never mentioned</w:t>
            </w:r>
          </w:p>
        </w:tc>
      </w:tr>
      <w:tr>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DEF 14A</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0000320187-20-000049</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92400E"/>
                <w:sz w:val="16"/>
                <w:szCs w:val="16"/>
              </w:rPr>
              <w:t xml:space="preserve">MINIMAL</w:t>
            </w:r>
          </w:p>
        </w:tc>
        <w:tc>
          <w:tcPr>
            <w:tcW w:type="dxa" w:w="40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Knight bio only. Parker/Donahoe/Graf bios omit Swoosh. Not in independence analysis or RPT</w:t>
            </w:r>
          </w:p>
        </w:tc>
      </w:tr>
      <w:tr>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424B2</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0001193125-20-087324</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92400E"/>
                <w:sz w:val="16"/>
                <w:szCs w:val="16"/>
              </w:rPr>
              <w:t xml:space="preserve">MINIMAL</w:t>
            </w:r>
          </w:p>
        </w:tc>
        <w:tc>
          <w:tcPr>
            <w:tcW w:type="dxa" w:w="40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Dual-class disclosed as risk factor. Swoosh governance NOT disclosed to $6B bond investors</w:t>
            </w:r>
          </w:p>
        </w:tc>
      </w:tr>
      <w:tr>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SC 13D</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0000897423-15-000038</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065F46"/>
                <w:sz w:val="16"/>
                <w:szCs w:val="16"/>
              </w:rPr>
              <w:t xml:space="preserve">FULL</w:t>
            </w:r>
          </w:p>
        </w:tc>
        <w:tc>
          <w:tcPr>
            <w:tcW w:type="dxa" w:w="40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Original 2015 filing + 2016 amendment. 4+ YEARS STALE. Names all 3 Independent Directors</w:t>
            </w:r>
          </w:p>
        </w:tc>
      </w:tr>
      <w:tr>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Form 4/5</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Multiple insider filings</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B91C1C"/>
                <w:sz w:val="16"/>
                <w:szCs w:val="16"/>
              </w:rPr>
              <w:t xml:space="preserve">ZERO</w:t>
            </w:r>
          </w:p>
        </w:tc>
        <w:tc>
          <w:tcPr>
            <w:tcW w:type="dxa" w:w="40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No Swoosh governance references in Section 16 filings</w:t>
            </w:r>
          </w:p>
        </w:tc>
      </w:tr>
      <w:tr>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CORRESP</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Last: 2009</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B91C1C"/>
                <w:sz w:val="16"/>
                <w:szCs w:val="16"/>
              </w:rPr>
              <w:t xml:space="preserve">ZERO</w:t>
            </w:r>
          </w:p>
        </w:tc>
        <w:tc>
          <w:tcPr>
            <w:tcW w:type="dxa" w:w="40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No SEC comment letter has ever addressed Swoosh governance disclosure</w:t>
            </w:r>
          </w:p>
        </w:tc>
      </w:tr>
      <w:tr>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13F</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Institutional filings</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92400E"/>
                <w:sz w:val="16"/>
                <w:szCs w:val="16"/>
              </w:rPr>
              <w:t xml:space="preserve">N/A</w:t>
            </w:r>
          </w:p>
        </w:tc>
        <w:tc>
          <w:tcPr>
            <w:tcW w:type="dxa" w:w="40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Major holders (Vanguard, BlackRock) hold Class B only; no Swoosh governance visibility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999999"/>
        <w:sz w:val="13"/>
        <w:szCs w:val="13"/>
      </w:rPr>
      <w:t xml:space="preserve">Nike Inc. (NKE) — Swoosh LLC Full-Corpus Analysis FY2020</w:t>
    </w:r>
    <w:r>
      <w:rPr>
        <w:rFonts w:ascii="Arial" w:cs="Arial" w:eastAsia="Arial" w:hAnsi="Arial"/>
        <w:color w:val="999999"/>
        <w:sz w:val="13"/>
        <w:szCs w:val="13"/>
      </w:rPr>
      <w:ptab w:alignment="right" w:relativeTo="margin" w:leader="none"/>
    </w:r>
    <w:r>
      <w:rPr>
        <w:rFonts w:ascii="Arial" w:cs="Arial" w:eastAsia="Arial" w:hAnsi="Arial"/>
        <w:color w:val="999999"/>
        <w:sz w:val="13"/>
        <w:szCs w:val="13"/>
      </w:rPr>
      <w:t xml:space="preserve">Page </w:t>
    </w:r>
    <w:r>
      <w:rPr>
        <w:rFonts w:ascii="Arial" w:cs="Arial" w:eastAsia="Arial" w:hAnsi="Arial"/>
        <w:color w:val="999999"/>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2545" w:sz="4" w:space="4"/>
      </w:pBdr>
    </w:pPr>
    <w:r>
      <w:rPr>
        <w:rFonts w:ascii="Arial" w:cs="Arial" w:eastAsia="Arial" w:hAnsi="Arial"/>
        <w:b/>
        <w:bCs/>
        <w:color w:val="0B2545"/>
        <w:sz w:val="14"/>
        <w:szCs w:val="14"/>
      </w:rPr>
      <w:t xml:space="preserve">ISS GOVERNANCE ALERT  |  FULL-CORPUS EDGAR AUDIT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80"/>
      <w:outlineLvl w:val="0"/>
    </w:pPr>
    <w:rPr>
      <w:rFonts w:ascii="Arial" w:cs="Arial" w:eastAsia="Arial" w:hAnsi="Arial"/>
      <w:b/>
      <w:bCs/>
      <w:color w:val="0B2545"/>
      <w:sz w:val="28"/>
      <w:szCs w:val="28"/>
    </w:rPr>
  </w:style>
  <w:style w:type="paragraph" w:styleId="Heading2">
    <w:name w:val="Heading 2"/>
    <w:basedOn w:val="Normal"/>
    <w:next w:val="Normal"/>
    <w:qFormat/>
    <w:pPr>
      <w:spacing w:before="260" w:after="140"/>
      <w:outlineLvl w:val="1"/>
    </w:pPr>
    <w:rPr>
      <w:rFonts w:ascii="Arial" w:cs="Arial" w:eastAsia="Arial" w:hAnsi="Arial"/>
      <w:b/>
      <w:bCs/>
      <w:color w:val="0B254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2026-03-09T11:31:40.744Z</dcterms:created>
  <dcterms:modified xsi:type="dcterms:W3CDTF">2026-03-09T11:31:40.745Z</dcterms:modified>
</cp:coreProperties>
</file>

<file path=docProps/custom.xml><?xml version="1.0" encoding="utf-8"?>
<Properties xmlns="http://schemas.openxmlformats.org/officeDocument/2006/custom-properties" xmlns:vt="http://schemas.openxmlformats.org/officeDocument/2006/docPropsVTypes"/>
</file>