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50"/>
        <w:jc w:val="center"/>
      </w:pPr>
      <w:r>
        <w:rPr>
          <w:rFonts w:ascii="Arial" w:cs="Arial" w:eastAsia="Arial" w:hAnsi="Arial"/>
          <w:b/>
          <w:bCs/>
          <w:color w:val="0F1B2D"/>
          <w:sz w:val="44"/>
          <w:szCs w:val="44"/>
        </w:rPr>
        <w:t xml:space="preserve">FULL-CORPUS EVIDENCE BUNDLE</w:t>
      </w:r>
    </w:p>
    <w:p>
      <w:pPr>
        <w:spacing w:after="25"/>
        <w:jc w:val="center"/>
      </w:pPr>
      <w:r>
        <w:rPr>
          <w:rFonts w:ascii="Arial" w:cs="Arial" w:eastAsia="Arial" w:hAnsi="Arial"/>
          <w:color w:val="4B5563"/>
          <w:sz w:val="26"/>
          <w:szCs w:val="26"/>
        </w:rPr>
        <w:t xml:space="preserve">SEC DIVISION OF ENFORCEMENT</w:t>
      </w:r>
    </w:p>
    <w:p>
      <w:pPr>
        <w:spacing w:after="120"/>
        <w:jc w:val="center"/>
      </w:pPr>
      <w:r>
        <w:rPr>
          <w:rFonts w:ascii="Arial" w:cs="Arial" w:eastAsia="Arial" w:hAnsi="Arial"/>
          <w:b/>
          <w:bCs/>
          <w:color w:val="B91C1C"/>
          <w:sz w:val="22"/>
          <w:szCs w:val="22"/>
        </w:rPr>
        <w:t xml:space="preserve">12-Category EDGAR Filing Audit — Fiscal Year 2020</w:t>
      </w:r>
    </w:p>
    <w:p>
      <w:pPr>
        <w:pBdr>
          <w:top w:val="single" w:color="0F1B2D" w:sz="4" w:space="8"/>
          <w:bottom w:val="single" w:color="0F1B2D" w:sz="4" w:space="8"/>
        </w:pBdr>
        <w:spacing w:before="140" w:after="140"/>
        <w:jc w:val="center"/>
      </w:pPr>
      <w:r>
        <w:rPr>
          <w:rFonts w:ascii="Arial" w:cs="Arial" w:eastAsia="Arial" w:hAnsi="Arial"/>
          <w:b/>
          <w:bCs/>
          <w:color w:val="0F1B2D"/>
          <w:sz w:val="34"/>
          <w:szCs w:val="34"/>
        </w:rPr>
        <w:t xml:space="preserve">NIKE, INC. (NKE)</w:t>
      </w:r>
    </w:p>
    <w:p>
      <w:pPr>
        <w:spacing w:after="25"/>
        <w:jc w:val="center"/>
      </w:pPr>
      <w:r>
        <w:rPr>
          <w:rFonts w:ascii="Arial" w:cs="Arial" w:eastAsia="Arial" w:hAnsi="Arial"/>
          <w:color w:val="4B5563"/>
          <w:sz w:val="20"/>
          <w:szCs w:val="20"/>
        </w:rPr>
        <w:t xml:space="preserve">CIK: 0000320187  |  SIC: 5130  |  Ticker: NKE (NYSE)</w:t>
      </w:r>
    </w:p>
    <w:p>
      <w:pPr>
        <w:spacing w:after="25"/>
        <w:jc w:val="center"/>
      </w:pPr>
      <w:r>
        <w:rPr>
          <w:rFonts w:ascii="Arial" w:cs="Arial" w:eastAsia="Arial" w:hAnsi="Arial"/>
          <w:color w:val="4B5563"/>
          <w:sz w:val="20"/>
          <w:szCs w:val="20"/>
        </w:rPr>
        <w:t xml:space="preserve">Fiscal Year: June 1, 2019 – May 31, 2020 | Prepared: March 9, 2026</w:t>
      </w:r>
    </w:p>
    <w:p>
      <w:pPr>
        <w:spacing w:after="200"/>
        <w:jc w:val="center"/>
      </w:pPr>
      <w:r>
        <w:rPr>
          <w:rFonts w:ascii="Arial" w:cs="Arial" w:eastAsia="Arial" w:hAnsi="Arial"/>
          <w:b/>
          <w:bCs/>
          <w:color w:val="B91C1C"/>
          <w:sz w:val="16"/>
          <w:szCs w:val="16"/>
        </w:rPr>
        <w:t xml:space="preserve">CLASSIFICATION: PRIVILEGED &amp; CONFIDENTIAL</w:t>
      </w:r>
    </w:p>
    <w:p>
      <w:pPr>
        <w:jc w:val="center"/>
      </w:pPr>
      <w:r>
        <w:rPr>
          <w:rFonts w:ascii="Arial" w:cs="Arial" w:eastAsia="Arial" w:hAnsi="Arial"/>
          <w:i/>
          <w:iCs/>
          <w:color w:val="6B7280"/>
          <w:sz w:val="16"/>
          <w:szCs w:val="16"/>
        </w:rPr>
        <w:t xml:space="preserve">Prepared by JLAW Forensic Intelligence Platform v4</w:t>
      </w:r>
    </w:p>
    <w:p>
      <w:r>
        <w:br w:type="page"/>
      </w:r>
    </w:p>
    <w:p>
      <w:pPr>
        <w:pStyle w:val="Heading1"/>
      </w:pPr>
      <w:r>
        <w:t xml:space="preserve">I. Executive Summary: What the Full-Corpus Audit Reveals</w:t>
      </w:r>
    </w:p>
    <w:p>
      <w:pPr>
        <w:spacing w:before="0" w:after="120"/>
      </w:pPr>
      <w:r>
        <w:rPr>
          <w:rFonts w:ascii="Arial" w:cs="Arial" w:eastAsia="Arial" w:hAnsi="Arial"/>
          <w:b w:val="false"/>
          <w:bCs w:val="false"/>
          <w:i w:val="false"/>
          <w:iCs w:val="false"/>
          <w:color w:val="1A1A1A"/>
          <w:sz w:val="21"/>
          <w:szCs w:val="21"/>
        </w:rPr>
        <w:t xml:space="preserve">This evidence bundle supersedes prior FY2020 analyses by expanding the audit scope from Form 4/proxy triangulation to a systematic review of all 12 EDGAR filing categories. The full-corpus methodology surfaces five categories of findings that targeted analyses missed:</w:t>
      </w:r>
    </w:p>
    <w:p>
      <w:pPr>
        <w:spacing w:before="0" w:after="120"/>
      </w:pPr>
      <w:r>
        <w:rPr>
          <w:rFonts w:ascii="Arial" w:cs="Arial" w:eastAsia="Arial" w:hAnsi="Arial"/>
          <w:b w:val="false"/>
          <w:bCs w:val="false"/>
          <w:i w:val="false"/>
          <w:iCs w:val="false"/>
          <w:color w:val="1A1A1A"/>
          <w:sz w:val="21"/>
          <w:szCs w:val="21"/>
        </w:rPr>
        <w:t xml:space="preserve">FINDING A — 10-K Risk Factor Omission: Nike’s FY2020 10-K contains 22 risk factor categories with ZERO addressing dual-class governance concentration, controlling shareholder influence, insider trading policy adequacy, or Section 16 compliance. The Knight family’s 75% board election control through Swoosh LLC’s Class A shares is never identified as a risk factor in any periodic filing.</w:t>
      </w:r>
    </w:p>
    <w:p>
      <w:pPr>
        <w:spacing w:before="0" w:after="120"/>
      </w:pPr>
      <w:r>
        <w:rPr>
          <w:rFonts w:ascii="Arial" w:cs="Arial" w:eastAsia="Arial" w:hAnsi="Arial"/>
          <w:b w:val="false"/>
          <w:bCs w:val="false"/>
          <w:i w:val="false"/>
          <w:iCs w:val="false"/>
          <w:color w:val="1A1A1A"/>
          <w:sz w:val="21"/>
          <w:szCs w:val="21"/>
        </w:rPr>
        <w:t xml:space="preserve">FINDING B — Unfiled Separation Agreements: The February 18, 2020 8-K disclosed Sprunk and Hill’s departures but filed only Friend’s noncompete as an exhibit. Sprunk’s and Hill’s separation agreements were never filed with any SEC filing, leaving material executive departure terms undisclosed. Sprunk executed a $12M option exercise 7 weeks before his retirement announcement.</w:t>
      </w:r>
    </w:p>
    <w:p>
      <w:pPr>
        <w:spacing w:before="0" w:after="120"/>
      </w:pPr>
      <w:r>
        <w:rPr>
          <w:rFonts w:ascii="Arial" w:cs="Arial" w:eastAsia="Arial" w:hAnsi="Arial"/>
          <w:b w:val="false"/>
          <w:bCs w:val="false"/>
          <w:i w:val="false"/>
          <w:iCs w:val="false"/>
          <w:color w:val="1A1A1A"/>
          <w:sz w:val="21"/>
          <w:szCs w:val="21"/>
        </w:rPr>
        <w:t xml:space="preserve">FINDING C — 11-Year SEC Comment Letter Vacuum: No SEC staff comment letter has been sent to Nike since March/April 2009 (addressing FX hedging disclosures). Eleven years without regulatory correspondence means the SEC has not publicly challenged Nike’s dual-class governance disclosures, related party transactions, insider trading policy, or executive compensation practices through the EDGAR correspondence process.</w:t>
      </w:r>
    </w:p>
    <w:p>
      <w:pPr>
        <w:spacing w:before="0" w:after="120"/>
      </w:pPr>
      <w:r>
        <w:rPr>
          <w:rFonts w:ascii="Arial" w:cs="Arial" w:eastAsia="Arial" w:hAnsi="Arial"/>
          <w:b w:val="false"/>
          <w:bCs w:val="false"/>
          <w:i w:val="false"/>
          <w:iCs w:val="false"/>
          <w:color w:val="1A1A1A"/>
          <w:sz w:val="21"/>
          <w:szCs w:val="21"/>
        </w:rPr>
        <w:t xml:space="preserve">FINDING D — $6B Debt Offering Underwriter-Lender Dual Relationship: All four joint book-running managers for the March 2020 $6B emergency offering (BofA, Citi, Goldman, JPM) simultaneously serve as Nike’s revolving credit facility lenders. While disclosed in the 424B2 prospectus supplement, this dual relationship received no discussion in any proxy, 10-K risk factor, or Related Party Transactions section.</w:t>
      </w:r>
    </w:p>
    <w:p>
      <w:pPr>
        <w:spacing w:before="0" w:after="120"/>
      </w:pPr>
      <w:r>
        <w:rPr>
          <w:rFonts w:ascii="Arial" w:cs="Arial" w:eastAsia="Arial" w:hAnsi="Arial"/>
          <w:b w:val="false"/>
          <w:bCs w:val="false"/>
          <w:i w:val="false"/>
          <w:iCs w:val="false"/>
          <w:color w:val="1A1A1A"/>
          <w:sz w:val="21"/>
          <w:szCs w:val="21"/>
        </w:rPr>
        <w:t xml:space="preserve">FINDING E — Insider Trading Policy Black Box: No filing across the entire FY2020 EDGAR corpus — 10-K, 10-Qs, 8-Ks, proxy, or exhibits — files, describes, or substantively discloses the Insider Trading Policy. The Audit Committee charter references an “internal Clearance Director” who pre-approves Section 16 trades, but this is the sole operational disclosure. The ITP was first filed as Exhibit 19 with the FY2024 10-K.</w:t>
      </w:r>
    </w:p>
    <w:p>
      <w:pPr>
        <w:spacing w:before="0" w:after="120"/>
      </w:pPr>
      <w:r>
        <w:rPr>
          <w:rFonts w:ascii="Arial" w:cs="Arial" w:eastAsia="Arial" w:hAnsi="Arial"/>
          <w:b w:val="false"/>
          <w:bCs w:val="false"/>
          <w:i w:val="false"/>
          <w:iCs w:val="false"/>
          <w:color w:val="1A1A1A"/>
          <w:sz w:val="21"/>
          <w:szCs w:val="21"/>
        </w:rPr>
        <w:t xml:space="preserve">Previously identified findings are confirmed and reinforced: the Section 16(a) omission (FAST Act-compliant), Parker’s blackout-period exercise (10b5-1 undisclosed), Swoosh cross-directorship (13D stale 4 years), and say-on-pay collapse to 54%.</w:t>
      </w:r>
    </w:p>
    <w:p>
      <w:r>
        <w:br w:type="page"/>
      </w:r>
    </w:p>
    <w:p>
      <w:pPr>
        <w:pStyle w:val="Heading1"/>
      </w:pPr>
      <w:r>
        <w:t xml:space="preserve">II. Evidence Index — Complete EDGAR Filing Inventory</w:t>
      </w:r>
    </w:p>
    <w:p>
      <w:pPr>
        <w:spacing w:before="0" w:after="120"/>
      </w:pPr>
      <w:r>
        <w:rPr>
          <w:rFonts w:ascii="Arial" w:cs="Arial" w:eastAsia="Arial" w:hAnsi="Arial"/>
          <w:b w:val="false"/>
          <w:bCs w:val="false"/>
          <w:i w:val="false"/>
          <w:iCs w:val="false"/>
          <w:color w:val="1A1A1A"/>
          <w:sz w:val="21"/>
          <w:szCs w:val="21"/>
        </w:rPr>
        <w:t xml:space="preserve">All filings accessible via SEC EDGAR (https://www.sec.gov/cgi-bin/browse-edgar?action=getcompany&amp;CIK=0000320187).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950"/>
        <w:gridCol w:w="1050"/>
        <w:gridCol w:w="1100"/>
        <w:gridCol w:w="4000"/>
        <w:gridCol w:w="1820"/>
      </w:tblGrid>
      <w:tr>
        <w:tc>
          <w:tcPr>
            <w:tcW w:type="dxa" w:w="44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E#</w:t>
            </w:r>
          </w:p>
        </w:tc>
        <w:tc>
          <w:tcPr>
            <w:tcW w:type="dxa" w:w="95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TYPE</w:t>
            </w:r>
          </w:p>
        </w:tc>
        <w:tc>
          <w:tcPr>
            <w:tcW w:type="dxa" w:w="105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DATE</w:t>
            </w:r>
          </w:p>
        </w:tc>
        <w:tc>
          <w:tcPr>
            <w:tcW w:type="dxa" w:w="110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ACCESSION</w:t>
            </w:r>
          </w:p>
        </w:tc>
        <w:tc>
          <w:tcPr>
            <w:tcW w:type="dxa" w:w="400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DESCRIPTION / FORENSIC RELEVANCE</w:t>
            </w:r>
          </w:p>
        </w:tc>
        <w:tc>
          <w:tcPr>
            <w:tcW w:type="dxa" w:w="1820"/>
            <w:tcBorders>
              <w:top w:val="single" w:color="AAAAAA" w:sz="1"/>
              <w:left w:val="single" w:color="AAAAAA" w:sz="1"/>
              <w:bottom w:val="single" w:color="AAAAAA" w:sz="1"/>
              <w:right w:val="single" w:color="AAAAAA" w:sz="1"/>
            </w:tcBorders>
            <w:shd w:fill="0F1B2D" w:val="clear"/>
            <w:tcMar>
              <w:top w:type="dxa" w:w="50"/>
              <w:left w:type="dxa" w:w="90"/>
              <w:bottom w:type="dxa" w:w="50"/>
              <w:right w:type="dxa" w:w="90"/>
            </w:tcMar>
          </w:tcPr>
          <w:p>
            <w:r>
              <w:rPr>
                <w:rFonts w:ascii="Arial" w:cs="Arial" w:eastAsia="Arial" w:hAnsi="Arial"/>
                <w:b/>
                <w:bCs/>
                <w:color w:val="FFFFFF"/>
                <w:sz w:val="16"/>
                <w:szCs w:val="16"/>
              </w:rPr>
              <w:t xml:space="preserve">FINDING</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7/23/2020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0000320187-20-000047</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FY2020 annual report. Part III inc. by ref. 22 risk factors — ZERO on dual-class/ITP. No Exhibit 19. No 10-K/A</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A,E</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10-Q Q1</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~10/1/2019</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0000320187-19-000071</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Q1 10-Q. $2B revolver disclosed. Clean legal proceedings. ASC 842 adoption</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Baseline</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10-Q Q2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1/7/2020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0000320187-20-000004</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Q2 10-Q. No CEO transition subsequent events beyond 8-K</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Baseline</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E-4</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10-Q Q3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4/7/2020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0000320187-20-000018</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Q3 10-Q. $6B debt + $2B credit confirmed via XBRL. COVID impact quantified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D</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DEF 14A</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7/24/2020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0000320187-20-000049</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FY2020 proxy. §16(a) omitted. Zero 10b5-1. 54% say-on-pay. No ITP description. Swoosh governance loop buried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A,E,Prior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E-6</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10/22/2019</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0000320187-19-000075</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CEO transition. 6 exhibits. Donahoe $53.5M package. Parker $10M transition award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2/18/2020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0000320187-20-000008</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Sprunk/Hill departures. ONLY Friend noncompete filed (Ex 10.1). NO SEPARATION AGREEMENTS for Sprunk or Hill</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B</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~3/24/2020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0001193125-20-084362</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Q3 earnings + COVID. Items 2.02 + 8.01 (atypical). First SEC disclosure of store closures (8-day gap)</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E-9</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3/27/2020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0001193125-20-088765</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$6B debt completion. Fourth Supplemental Indenture exhibit filed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D</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424B2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3/25/2020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0001193125-20-087324</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$6B prospectus supplement. 5 tranches. BofA/Citi/Goldman/JPM dual underwriter-lender relationship DISCLOSED here only</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D</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Form 4</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~12/4/2019</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Parker filing</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Parker Dec 2 exercise ~165K @ $93.55 — BLACKOUT PERIOD. 10b5-1 undisclosed in entire EDGAR corpus</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Form 5</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7/10/2020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Sprunk filing</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Sprunk Dec 24–26 micro-gifts. 14 days before proxy filing</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SC 13D</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6/30/2015</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0000897423-15-000038</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Swoosh LLC formation. Last amendment June 2016. 4 YEARS STALE by FY2020 end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E-14</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CORRESP</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2009</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0001193125-09-078960</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Last known SEC comment letter to Nike (FX hedging). 11+ YEAR GAP</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C</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2/4/2020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0000320187-20-000006</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COVID Greater China impact (Item 7.01)</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Context</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E-16</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~5/14/2020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0000320187-20-000020</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COVID operations update</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Context</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8-K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9/17/2020</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Meeting results</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Annual meeting results. 54% say-on-pay. All directors elected</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Prior</w:t>
            </w:r>
          </w:p>
        </w:tc>
      </w:tr>
      <w:tr>
        <w:tc>
          <w:tcPr>
            <w:tcW w:type="dxa" w:w="44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1A1A1A"/>
                <w:sz w:val="16"/>
                <w:szCs w:val="16"/>
              </w:rPr>
              <w:t xml:space="preserve">E-18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Exhibit 19</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FY2024</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0000320187-24-000044</w:t>
            </w:r>
          </w:p>
        </w:tc>
        <w:tc>
          <w:tcPr>
            <w:tcW w:type="dxa" w:w="40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val="false"/>
                <w:bCs w:val="false"/>
                <w:color w:val="1A1A1A"/>
                <w:sz w:val="16"/>
                <w:szCs w:val="16"/>
              </w:rPr>
              <w:t xml:space="preserve">Nike ITP first filed 4 years later — confirms existence of policy that was invisible in FY2020 corpus</w:t>
            </w:r>
          </w:p>
        </w:tc>
        <w:tc>
          <w:tcPr>
            <w:tcW w:type="dxa" w:w="182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b/>
                <w:bCs/>
                <w:color w:val="0F1B2D"/>
                <w:sz w:val="16"/>
                <w:szCs w:val="16"/>
              </w:rPr>
              <w:t xml:space="preserve">E</w:t>
            </w:r>
          </w:p>
        </w:tc>
      </w:tr>
    </w:tbl>
    <w:p>
      <w:r>
        <w:br w:type="page"/>
      </w:r>
    </w:p>
    <w:p>
      <w:pPr>
        <w:pStyle w:val="Heading1"/>
      </w:pPr>
      <w:r>
        <w:t xml:space="preserve">III. Cross-Referencing Findings — 7 Systematic Checks</w:t>
      </w:r>
    </w:p>
    <w:p>
      <w:pPr>
        <w:pStyle w:val="Heading2"/>
      </w:pPr>
      <w:r>
        <w:t xml:space="preserve">A) Compensation Cross-Check: PASSED</w:t>
      </w:r>
    </w:p>
    <w:p>
      <w:pPr>
        <w:spacing w:before="0" w:after="120"/>
      </w:pPr>
      <w:r>
        <w:rPr>
          <w:rFonts w:ascii="Arial" w:cs="Arial" w:eastAsia="Arial" w:hAnsi="Arial"/>
          <w:b w:val="false"/>
          <w:bCs w:val="false"/>
          <w:i w:val="false"/>
          <w:iCs w:val="false"/>
          <w:color w:val="1A1A1A"/>
          <w:sz w:val="21"/>
          <w:szCs w:val="21"/>
        </w:rPr>
        <w:t xml:space="preserve">Donahoe’s 8-K offer letter ($1.5M/$3M/$14M + sign-on awards) matches proxy SCT exactly. Parker’s $10M transition incentive consistent across 8-K and proxy. Friend’s $875K salary/120% bonus target consistent. Zero numerical discrepancies identified.</w:t>
      </w:r>
    </w:p>
    <w:p>
      <w:pPr>
        <w:pStyle w:val="Heading2"/>
      </w:pPr>
      <w:r>
        <w:t xml:space="preserve">B) Beneficial Ownership Cross-Check: PASSED with notation</w:t>
      </w:r>
    </w:p>
    <w:p>
      <w:pPr>
        <w:spacing w:before="0" w:after="120"/>
      </w:pPr>
      <w:r>
        <w:rPr>
          <w:rFonts w:ascii="Arial" w:cs="Arial" w:eastAsia="Arial" w:hAnsi="Arial"/>
          <w:b w:val="false"/>
          <w:bCs w:val="false"/>
          <w:i w:val="false"/>
          <w:iCs w:val="false"/>
          <w:color w:val="1A1A1A"/>
          <w:sz w:val="21"/>
          <w:szCs w:val="21"/>
        </w:rPr>
        <w:t xml:space="preserve">Swoosh 13D share count (128.5M Class A) consistent with proxy beneficial ownership table. Vanguard (~7–8% Class B) and BlackRock (~5–6% Class B) confirmed as 5%+ holders. 10-K cover page (315,017,252 Class A; 1,244,871,297 Class B as of July 17, 2020) matches proxy record date. However, the 13D’s 4-year age introduces uncertainty about intermediate Swoosh conversions.</w:t>
      </w:r>
    </w:p>
    <w:p>
      <w:pPr>
        <w:pStyle w:val="Heading2"/>
      </w:pPr>
      <w:r>
        <w:t xml:space="preserve">C) Related Party Cross-Check: GAP IDENTIFIED</w:t>
      </w:r>
    </w:p>
    <w:p>
      <w:pPr>
        <w:spacing w:before="0" w:after="120"/>
      </w:pPr>
      <w:r>
        <w:rPr>
          <w:rFonts w:ascii="Arial" w:cs="Arial" w:eastAsia="Arial" w:hAnsi="Arial"/>
          <w:b w:val="false"/>
          <w:bCs w:val="false"/>
          <w:i w:val="false"/>
          <w:iCs w:val="false"/>
          <w:color w:val="1A1A1A"/>
          <w:sz w:val="21"/>
          <w:szCs w:val="21"/>
        </w:rPr>
        <w:t xml:space="preserve">Knight $500K Chairman Emeritus compensation disclosed in proxy. Swoosh governance loop (3 of 5 Swoosh votes held by Nike directors) disclosed ONLY via Knight biography text. NOT disclosed in: 10-K risk factors, Related Party Transactions section, independence analysis, or any 8-K. Thompson Jr. consulting agreement disclosed. Underwriter-lender dual relationship (BofA/Citi/Goldman/JPM) disclosed ONLY in 424B2 prospectus — absent from proxy, 10-K, or any other filing.</w:t>
      </w:r>
    </w:p>
    <w:p>
      <w:pPr>
        <w:pStyle w:val="Heading2"/>
      </w:pPr>
      <w:r>
        <w:t xml:space="preserve">D) Insider Trading Policy Cross-Check: FAILED</w:t>
      </w:r>
    </w:p>
    <w:p>
      <w:pPr>
        <w:spacing w:before="0" w:after="120"/>
      </w:pPr>
      <w:r>
        <w:rPr>
          <w:rFonts w:ascii="Arial" w:cs="Arial" w:eastAsia="Arial" w:hAnsi="Arial"/>
          <w:b w:val="false"/>
          <w:bCs w:val="false"/>
          <w:i w:val="false"/>
          <w:iCs w:val="false"/>
          <w:color w:val="1A1A1A"/>
          <w:sz w:val="21"/>
          <w:szCs w:val="21"/>
        </w:rPr>
        <w:t xml:space="preserve">The ITP is invisible across the entire FY2020 EDGAR corpus. Not filed as exhibit. Not described in proxy. Not referenced in 10-K risk factors. The Audit Committee charter’s reference to a “Clearance Director” is the sole substantive disclosure of ITP mechanics across all filing types. The policy was first filed as Exhibit 19.2 with the FY2024 10-K (0000320187-24-000044), confirming that a formal policy existed throughout FY2020 but was never publicly disclosed.</w:t>
      </w:r>
    </w:p>
    <w:p>
      <w:pPr>
        <w:pStyle w:val="Heading2"/>
      </w:pPr>
      <w:r>
        <w:t xml:space="preserve">E) Timeline Integrity Check: PASSED with notations</w:t>
      </w:r>
    </w:p>
    <w:p>
      <w:pPr>
        <w:spacing w:before="0" w:after="120"/>
      </w:pPr>
      <w:r>
        <w:rPr>
          <w:rFonts w:ascii="Arial" w:cs="Arial" w:eastAsia="Arial" w:hAnsi="Arial"/>
          <w:b w:val="false"/>
          <w:bCs w:val="false"/>
          <w:i w:val="false"/>
          <w:iCs w:val="false"/>
          <w:color w:val="1A1A1A"/>
          <w:sz w:val="21"/>
          <w:szCs w:val="21"/>
        </w:rPr>
        <w:t xml:space="preserve">All filing dates internally consistent. Key timing anomalies: (1) March 15–16 store closures announced via press release with no 8-K until March 24 (8-day gap); (2) Sprunk’s $12M exercise (Dec 24) preceded his retirement announcement (Feb 18) by 56 days; (3) Sprunk’s Form 5 filed July 10 — 14 days before proxy filing of July 24.</w:t>
      </w:r>
    </w:p>
    <w:p>
      <w:pPr>
        <w:pStyle w:val="Heading2"/>
      </w:pPr>
      <w:r>
        <w:t xml:space="preserve">F) SEC Engagement Check: FAILED</w:t>
      </w:r>
    </w:p>
    <w:p>
      <w:pPr>
        <w:spacing w:before="0" w:after="120"/>
      </w:pPr>
      <w:r>
        <w:rPr>
          <w:rFonts w:ascii="Arial" w:cs="Arial" w:eastAsia="Arial" w:hAnsi="Arial"/>
          <w:b w:val="false"/>
          <w:bCs w:val="false"/>
          <w:i w:val="false"/>
          <w:iCs w:val="false"/>
          <w:color w:val="1A1A1A"/>
          <w:sz w:val="21"/>
          <w:szCs w:val="21"/>
        </w:rPr>
        <w:t xml:space="preserve">Zero SEC comment letters, correspondence, or no-action requests identified for Nike during FY2020 or any year since 2009. An 11+ year gap in regulatory engagement is anomalous for a company of Nike’s size and complexity ($37.4B revenue, dual-class structure, $84.8M in NEO option exercises).</w:t>
      </w:r>
    </w:p>
    <w:p>
      <w:pPr>
        <w:pStyle w:val="Heading2"/>
      </w:pPr>
      <w:r>
        <w:t xml:space="preserve">G) Debt Issuance Cross-Check: PASSED with notation</w:t>
      </w:r>
    </w:p>
    <w:p>
      <w:pPr>
        <w:spacing w:before="0" w:after="120"/>
      </w:pPr>
      <w:r>
        <w:rPr>
          <w:rFonts w:ascii="Arial" w:cs="Arial" w:eastAsia="Arial" w:hAnsi="Arial"/>
          <w:b w:val="false"/>
          <w:bCs w:val="false"/>
          <w:i w:val="false"/>
          <w:iCs w:val="false"/>
          <w:color w:val="1A1A1A"/>
          <w:sz w:val="21"/>
          <w:szCs w:val="21"/>
        </w:rPr>
        <w:t xml:space="preserve">$6B offering consistently disclosed across 424B2, 8-K (Mar 27), Q3 10-Q subsequent events (XBRL-confirmed), and 10-K balance sheet (~$9.4B long-term debt). No numerical discrepancies. Underwriter-lender dual relationship disclosed in 424B2 but absent from all other filing types.</w:t>
      </w:r>
    </w:p>
    <w:p>
      <w:r>
        <w:br w:type="page"/>
      </w:r>
    </w:p>
    <w:p>
      <w:pPr>
        <w:pStyle w:val="Heading1"/>
      </w:pPr>
      <w:r>
        <w:t xml:space="preserve">IV. Recommended Enforcement Actions</w:t>
      </w:r>
    </w:p>
    <w:p>
      <w:pPr>
        <w:pStyle w:val="Heading2"/>
      </w:pPr>
      <w:r>
        <w:t xml:space="preserve">Priority 1: 10b5-1 Plan Subpoena</w:t>
      </w:r>
    </w:p>
    <w:p>
      <w:pPr>
        <w:spacing w:before="0" w:after="120"/>
      </w:pPr>
      <w:r>
        <w:rPr>
          <w:rFonts w:ascii="Arial" w:cs="Arial" w:eastAsia="Arial" w:hAnsi="Arial"/>
          <w:b w:val="false"/>
          <w:bCs w:val="false"/>
          <w:i w:val="false"/>
          <w:iCs w:val="false"/>
          <w:color w:val="1A1A1A"/>
          <w:sz w:val="21"/>
          <w:szCs w:val="21"/>
        </w:rPr>
        <w:t xml:space="preserve">The full-corpus audit confirms that Parker’s December 2, 2019 blackout exercise ($15.4M) has NO 10b5-1 disclosure in ANY EDGAR filing type — not the Form 4, the proxy, the 10-K, the 10-Qs, or any exhibit. Subpoena all Parker 10b5-1 trading plans effective during FY2020. Determine adoption dates relative to CEO succession awareness (October 17, 2019 or earlier).</w:t>
      </w:r>
    </w:p>
    <w:p>
      <w:pPr>
        <w:pStyle w:val="Heading2"/>
      </w:pPr>
      <w:r>
        <w:t xml:space="preserve">Priority 2: Sprunk Separation Agreement + Pre-Retirement Exercise</w:t>
      </w:r>
    </w:p>
    <w:p>
      <w:pPr>
        <w:spacing w:before="0" w:after="120"/>
      </w:pPr>
      <w:r>
        <w:rPr>
          <w:rFonts w:ascii="Arial" w:cs="Arial" w:eastAsia="Arial" w:hAnsi="Arial"/>
          <w:b w:val="false"/>
          <w:bCs w:val="false"/>
          <w:i w:val="false"/>
          <w:iCs w:val="false"/>
          <w:color w:val="1A1A1A"/>
          <w:sz w:val="21"/>
          <w:szCs w:val="21"/>
        </w:rPr>
        <w:t xml:space="preserve">Request the unfiled Sprunk and Hill separation agreements. Determine whether Sprunk’s December 24 exercise ($12M, 56 days before retirement announcement) was conducted under a 10b5-1 plan adopted before he became aware of his own departure timeline. The absence of separation agreement exhibits may constitute a material contract non-filing under Item 601(b)(10) of Regulation S-K, depending on the financial significance of the separation terms.</w:t>
      </w:r>
    </w:p>
    <w:p>
      <w:pPr>
        <w:pStyle w:val="Heading2"/>
      </w:pPr>
      <w:r>
        <w:t xml:space="preserve">Priority 3: SEC Staff Review Initiation</w:t>
      </w:r>
    </w:p>
    <w:p>
      <w:pPr>
        <w:spacing w:before="0" w:after="120"/>
      </w:pPr>
      <w:r>
        <w:rPr>
          <w:rFonts w:ascii="Arial" w:cs="Arial" w:eastAsia="Arial" w:hAnsi="Arial"/>
          <w:b w:val="false"/>
          <w:bCs w:val="false"/>
          <w:i w:val="false"/>
          <w:iCs w:val="false"/>
          <w:color w:val="1A1A1A"/>
          <w:sz w:val="21"/>
          <w:szCs w:val="21"/>
        </w:rPr>
        <w:t xml:space="preserve">Nike has not received a publicly visible SEC comment letter in 11+ years. Under SOX Section 408, the SEC is required to review each reporting company’s filings at least triennially. If reviews have been conducted without comments, no action is needed. If the triennial review cycle has not been met, initiate a review of Nike’s FY2020 10-K with particular attention to: (a) dual-class risk factor adequacy; (b) Swoosh LLC related party disclosure; (c) insider trading policy description adequacy; (d) executive separation agreement exhibit filing.</w:t>
      </w:r>
    </w:p>
    <w:p>
      <w:pPr>
        <w:pStyle w:val="Heading2"/>
      </w:pPr>
      <w:r>
        <w:t xml:space="preserve">Priority 4: Swoosh 13D Amendment Inquiry</w:t>
      </w:r>
    </w:p>
    <w:p>
      <w:pPr>
        <w:spacing w:before="0" w:after="120"/>
      </w:pPr>
      <w:r>
        <w:rPr>
          <w:rFonts w:ascii="Arial" w:cs="Arial" w:eastAsia="Arial" w:hAnsi="Arial"/>
          <w:b w:val="false"/>
          <w:bCs w:val="false"/>
          <w:i w:val="false"/>
          <w:iCs w:val="false"/>
          <w:color w:val="1A1A1A"/>
          <w:sz w:val="21"/>
          <w:szCs w:val="21"/>
        </w:rPr>
        <w:t xml:space="preserve">Determine whether Swoosh LLC or its counsel considered filing a 13D amendment after the January 2020 CEO transition. The 13D is now 4 years stale. The transformation of 2 of 3 “Independent Directors” into management insiders constitutes a material governance change that the public filing record does not reflect.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3"/>
        <w:szCs w:val="13"/>
      </w:rPr>
      <w:t xml:space="preserve">PRIVILEGED &amp; CONFIDENTIAL — Nike FY2020 Full-Corpus Evidence Bundle</w:t>
    </w:r>
    <w:r>
      <w:rPr>
        <w:rFonts w:ascii="Arial" w:cs="Arial" w:eastAsia="Arial" w:hAnsi="Arial"/>
        <w:color w:val="999999"/>
        <w:sz w:val="13"/>
        <w:szCs w:val="13"/>
      </w:rPr>
      <w:ptab w:alignment="right" w:relativeTo="margin" w:leader="none"/>
    </w:r>
    <w:r>
      <w:rPr>
        <w:rFonts w:ascii="Arial" w:cs="Arial" w:eastAsia="Arial" w:hAnsi="Arial"/>
        <w:color w:val="999999"/>
        <w:sz w:val="13"/>
        <w:szCs w:val="13"/>
      </w:rPr>
      <w:t xml:space="preserve">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pPr>
    <w:r>
      <w:rPr>
        <w:rFonts w:ascii="Arial" w:cs="Arial" w:eastAsia="Arial" w:hAnsi="Arial"/>
        <w:b/>
        <w:bCs/>
        <w:color w:val="B91C1C"/>
        <w:sz w:val="14"/>
        <w:szCs w:val="14"/>
      </w:rPr>
      <w:t xml:space="preserve">SEC ENFORCEMENT TIP — FULL-CORPUS EDGAR AUDIT — FY2020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200"/>
      <w:outlineLvl w:val="0"/>
    </w:pPr>
    <w:rPr>
      <w:rFonts w:ascii="Arial" w:cs="Arial" w:eastAsia="Arial" w:hAnsi="Arial"/>
      <w:b/>
      <w:bCs/>
      <w:color w:val="0F1B2D"/>
      <w:sz w:val="30"/>
      <w:szCs w:val="30"/>
    </w:rPr>
  </w:style>
  <w:style w:type="paragraph" w:styleId="Heading2">
    <w:name w:val="Heading 2"/>
    <w:basedOn w:val="Normal"/>
    <w:next w:val="Normal"/>
    <w:qFormat/>
    <w:pPr>
      <w:spacing w:before="260" w:after="150"/>
      <w:outlineLvl w:val="1"/>
    </w:pPr>
    <w:rPr>
      <w:rFonts w:ascii="Arial" w:cs="Arial" w:eastAsia="Arial" w:hAnsi="Arial"/>
      <w:b/>
      <w:bCs/>
      <w:color w:val="0F1B2D"/>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2026-03-09T11:31:40.400Z</dcterms:created>
  <dcterms:modified xsi:type="dcterms:W3CDTF">2026-03-09T11:31:40.401Z</dcterms:modified>
</cp:coreProperties>
</file>

<file path=docProps/custom.xml><?xml version="1.0" encoding="utf-8"?>
<Properties xmlns="http://schemas.openxmlformats.org/officeDocument/2006/custom-properties" xmlns:vt="http://schemas.openxmlformats.org/officeDocument/2006/docPropsVTypes"/>
</file>