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Arial" w:cs="Arial" w:eastAsia="Arial" w:hAnsi="Arial"/>
          <w:b/>
          <w:bCs/>
          <w:color w:val="0F1B2D"/>
          <w:sz w:val="36"/>
          <w:szCs w:val="36"/>
        </w:rPr>
        <w:t xml:space="preserve">FULL-CORPUS COMPARATIVE FORENSIC TIMELINE — FISCAL YEAR 2021</w:t>
      </w:r>
    </w:p>
    <w:p>
      <w:pPr>
        <w:spacing w:after="25"/>
        <w:jc w:val="center"/>
      </w:pPr>
      <w:r>
        <w:rPr>
          <w:rFonts w:ascii="Arial" w:cs="Arial" w:eastAsia="Arial" w:hAnsi="Arial"/>
          <w:color w:val="4B5563"/>
          <w:sz w:val="20"/>
          <w:szCs w:val="20"/>
        </w:rPr>
        <w:t xml:space="preserve">12 Filing Types: 10-K • 10-Q (x3) • 8-K (x7) • DEF 14A • Form 3/4/5 • S-8 • SC 13D/G • CORRESP • 13F • Exhibits</w:t>
      </w:r>
    </w:p>
    <w:p>
      <w:pPr>
        <w:spacing w:after="140"/>
        <w:jc w:val="center"/>
      </w:pPr>
      <w:r>
        <w:rPr>
          <w:rFonts w:ascii="Arial" w:cs="Arial" w:eastAsia="Arial" w:hAnsi="Arial"/>
          <w:color w:val="6B7280"/>
          <w:sz w:val="17"/>
          <w:szCs w:val="17"/>
        </w:rPr>
        <w:t xml:space="preserve">Nike Inc. (NKE) | CIK 0000320187 | FY Ending May 31, 2021 | Generated: March 9, 2026</w:t>
      </w:r>
    </w:p>
    <w:p>
      <w:pPr>
        <w:spacing w:before="60" w:after="50"/>
      </w:pPr>
      <w:r>
        <w:rPr>
          <w:rFonts w:ascii="Arial" w:cs="Arial" w:eastAsia="Arial" w:hAnsi="Arial"/>
          <w:b/>
          <w:bCs/>
          <w:color w:val="0F1B2D"/>
          <w:sz w:val="15"/>
          <w:szCs w:val="15"/>
        </w:rPr>
        <w:t xml:space="preserve">FLAG LEGEND  </w:t>
      </w:r>
      <w:r>
        <w:rPr>
          <w:rFonts w:ascii="Arial" w:cs="Arial" w:eastAsia="Arial" w:hAnsi="Arial"/>
          <w:color w:val="4B5563"/>
          <w:sz w:val="14"/>
          <w:szCs w:val="14"/>
        </w:rPr>
        <w:t xml:space="preserve">RED = Material anomaly  |  AMBER = Procedural irregularity  |  GREEN = Confirmed compliant  |  GREY = Calendar marker  |  BLUE = Post-FY21 regulatory context</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900"/>
        <w:gridCol w:w="620"/>
        <w:gridCol w:w="2250"/>
        <w:gridCol w:w="2050"/>
        <w:gridCol w:w="2230"/>
        <w:gridCol w:w="500"/>
      </w:tblGrid>
      <w:tr>
        <w:trPr>
          <w:tblHeader/>
        </w:trPr>
        <w:tc>
          <w:tcPr>
            <w:tcW w:type="dxa" w:w="900"/>
            <w:tcBorders>
              <w:top w:val="single" w:color="999999" w:sz="1"/>
              <w:left w:val="single" w:color="999999" w:sz="1"/>
              <w:bottom w:val="single" w:color="999999" w:sz="1"/>
              <w:right w:val="single" w:color="999999" w:sz="1"/>
            </w:tcBorders>
            <w:shd w:fill="0F1B2D" w:val="clear"/>
            <w:tcMar>
              <w:top w:type="dxa" w:w="50"/>
              <w:left w:type="dxa" w:w="80"/>
              <w:bottom w:type="dxa" w:w="50"/>
              <w:right w:type="dxa" w:w="80"/>
            </w:tcMar>
          </w:tcPr>
          <w:p>
            <w:r>
              <w:rPr>
                <w:rFonts w:ascii="Arial" w:cs="Arial" w:eastAsia="Arial" w:hAnsi="Arial"/>
                <w:b/>
                <w:bCs/>
                <w:color w:val="FFFFFF"/>
                <w:sz w:val="15"/>
                <w:szCs w:val="15"/>
              </w:rPr>
              <w:t xml:space="preserve">DATE</w:t>
            </w:r>
          </w:p>
        </w:tc>
        <w:tc>
          <w:tcPr>
            <w:tcW w:type="dxa" w:w="620"/>
            <w:tcBorders>
              <w:top w:val="single" w:color="999999" w:sz="1"/>
              <w:left w:val="single" w:color="999999" w:sz="1"/>
              <w:bottom w:val="single" w:color="999999" w:sz="1"/>
              <w:right w:val="single" w:color="999999" w:sz="1"/>
            </w:tcBorders>
            <w:shd w:fill="0F1B2D" w:val="clear"/>
            <w:tcMar>
              <w:top w:type="dxa" w:w="50"/>
              <w:left w:type="dxa" w:w="80"/>
              <w:bottom w:type="dxa" w:w="50"/>
              <w:right w:type="dxa" w:w="80"/>
            </w:tcMar>
          </w:tcPr>
          <w:p>
            <w:r>
              <w:rPr>
                <w:rFonts w:ascii="Arial" w:cs="Arial" w:eastAsia="Arial" w:hAnsi="Arial"/>
                <w:b/>
                <w:bCs/>
                <w:color w:val="FFFFFF"/>
                <w:sz w:val="15"/>
                <w:szCs w:val="15"/>
              </w:rPr>
              <w:t xml:space="preserve">FILING</w:t>
            </w:r>
          </w:p>
        </w:tc>
        <w:tc>
          <w:tcPr>
            <w:tcW w:type="dxa" w:w="2250"/>
            <w:tcBorders>
              <w:top w:val="single" w:color="999999" w:sz="1"/>
              <w:left w:val="single" w:color="999999" w:sz="1"/>
              <w:bottom w:val="single" w:color="999999" w:sz="1"/>
              <w:right w:val="single" w:color="999999" w:sz="1"/>
            </w:tcBorders>
            <w:shd w:fill="0F1B2D" w:val="clear"/>
            <w:tcMar>
              <w:top w:type="dxa" w:w="50"/>
              <w:left w:type="dxa" w:w="80"/>
              <w:bottom w:type="dxa" w:w="50"/>
              <w:right w:type="dxa" w:w="80"/>
            </w:tcMar>
          </w:tcPr>
          <w:p>
            <w:r>
              <w:rPr>
                <w:rFonts w:ascii="Arial" w:cs="Arial" w:eastAsia="Arial" w:hAnsi="Arial"/>
                <w:b/>
                <w:bCs/>
                <w:color w:val="FFFFFF"/>
                <w:sz w:val="15"/>
                <w:szCs w:val="15"/>
              </w:rPr>
              <w:t xml:space="preserve">PROXY / PERIODIC FILING</w:t>
            </w:r>
          </w:p>
        </w:tc>
        <w:tc>
          <w:tcPr>
            <w:tcW w:type="dxa" w:w="2050"/>
            <w:tcBorders>
              <w:top w:val="single" w:color="999999" w:sz="1"/>
              <w:left w:val="single" w:color="999999" w:sz="1"/>
              <w:bottom w:val="single" w:color="999999" w:sz="1"/>
              <w:right w:val="single" w:color="999999" w:sz="1"/>
            </w:tcBorders>
            <w:shd w:fill="0F1B2D" w:val="clear"/>
            <w:tcMar>
              <w:top w:type="dxa" w:w="50"/>
              <w:left w:type="dxa" w:w="80"/>
              <w:bottom w:type="dxa" w:w="50"/>
              <w:right w:type="dxa" w:w="80"/>
            </w:tcMar>
          </w:tcPr>
          <w:p>
            <w:r>
              <w:rPr>
                <w:rFonts w:ascii="Arial" w:cs="Arial" w:eastAsia="Arial" w:hAnsi="Arial"/>
                <w:b/>
                <w:bCs/>
                <w:color w:val="FFFFFF"/>
                <w:sz w:val="15"/>
                <w:szCs w:val="15"/>
              </w:rPr>
              <w:t xml:space="preserve">FORM 4 / SECTION 16</w:t>
            </w:r>
          </w:p>
        </w:tc>
        <w:tc>
          <w:tcPr>
            <w:tcW w:type="dxa" w:w="2230"/>
            <w:tcBorders>
              <w:top w:val="single" w:color="999999" w:sz="1"/>
              <w:left w:val="single" w:color="999999" w:sz="1"/>
              <w:bottom w:val="single" w:color="999999" w:sz="1"/>
              <w:right w:val="single" w:color="999999" w:sz="1"/>
            </w:tcBorders>
            <w:shd w:fill="0F1B2D" w:val="clear"/>
            <w:tcMar>
              <w:top w:type="dxa" w:w="50"/>
              <w:left w:type="dxa" w:w="80"/>
              <w:bottom w:type="dxa" w:w="50"/>
              <w:right w:type="dxa" w:w="80"/>
            </w:tcMar>
          </w:tcPr>
          <w:p>
            <w:r>
              <w:rPr>
                <w:rFonts w:ascii="Arial" w:cs="Arial" w:eastAsia="Arial" w:hAnsi="Arial"/>
                <w:b/>
                <w:bCs/>
                <w:color w:val="FFFFFF"/>
                <w:sz w:val="15"/>
                <w:szCs w:val="15"/>
              </w:rPr>
              <w:t xml:space="preserve">GOVERNANCE / CORPORATE / CAPITAL</w:t>
            </w:r>
          </w:p>
        </w:tc>
        <w:tc>
          <w:tcPr>
            <w:tcW w:type="dxa" w:w="500"/>
            <w:tcBorders>
              <w:top w:val="single" w:color="999999" w:sz="1"/>
              <w:left w:val="single" w:color="999999" w:sz="1"/>
              <w:bottom w:val="single" w:color="999999" w:sz="1"/>
              <w:right w:val="single" w:color="999999" w:sz="1"/>
            </w:tcBorders>
            <w:shd w:fill="0F1B2D" w:val="clear"/>
            <w:tcMar>
              <w:top w:type="dxa" w:w="50"/>
              <w:left w:type="dxa" w:w="80"/>
              <w:bottom w:type="dxa" w:w="50"/>
              <w:right w:type="dxa" w:w="80"/>
            </w:tcMar>
          </w:tcPr>
          <w:p>
            <w:r>
              <w:rPr>
                <w:rFonts w:ascii="Arial" w:cs="Arial" w:eastAsia="Arial" w:hAnsi="Arial"/>
                <w:b/>
                <w:bCs/>
                <w:color w:val="FFFFFF"/>
                <w:sz w:val="15"/>
                <w:szCs w:val="15"/>
              </w:rPr>
              <w:t xml:space="preserve">FLAG</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Jun 1,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FY2021 begins. Donahoe’s 1st full year as CEO. Triple-insider Swoosh board in effect</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~Jun 1,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Form 4</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Parker sells 165K @ $99.14 (~$16.4M). Open window. Filed Jun 2 (timely)</w:t>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Jun 17,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8-K: Item 5.03 — Bylaw amendment enabling virtual shareholder meetings. Only governance-focused 8-K in period</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~Jun 25,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Q4 FY2020 earnings 8-K (Item 2.02). Revenue $37.4B. Q4 net loss ~$790M</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Jul 10,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Form 5</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FY2020 EVENT: Sprunk Form 5 filed. Dec 24–26 micro-gifts (124+562 shares)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EF3C7" w:val="clear"/>
            <w:tcMar>
              <w:top w:type="dxa" w:w="50"/>
              <w:left w:type="dxa" w:w="80"/>
              <w:bottom w:type="dxa" w:w="50"/>
              <w:right w:type="dxa" w:w="80"/>
            </w:tcMar>
          </w:tcPr>
          <w:p>
            <w:pPr>
              <w:jc w:val="center"/>
            </w:pPr>
            <w:r>
              <w:rPr>
                <w:rFonts w:ascii="Arial" w:cs="Arial" w:eastAsia="Arial" w:hAnsi="Arial"/>
                <w:b/>
                <w:bCs/>
                <w:color w:val="92400E"/>
                <w:sz w:val="13"/>
                <w:szCs w:val="13"/>
              </w:rPr>
              <w:t xml:space="preserve">AMBER</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~Jul 20,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10-K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FY2020 10-K filed (0000320187-20-000047). Part III inc. by ref. 22 risk factors — ZERO on dual-class/ITP/§16. No Exhibit 19. No 10-K/A</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DE8E8" w:val="clear"/>
            <w:tcMar>
              <w:top w:type="dxa" w:w="50"/>
              <w:left w:type="dxa" w:w="80"/>
              <w:bottom w:type="dxa" w:w="50"/>
              <w:right w:type="dxa" w:w="80"/>
            </w:tcMar>
          </w:tcPr>
          <w:p>
            <w:pPr>
              <w:jc w:val="center"/>
            </w:pPr>
            <w:r>
              <w:rPr>
                <w:rFonts w:ascii="Arial" w:cs="Arial" w:eastAsia="Arial" w:hAnsi="Arial"/>
                <w:b/>
                <w:bCs/>
                <w:color w:val="B91C1C"/>
                <w:sz w:val="13"/>
                <w:szCs w:val="13"/>
              </w:rPr>
              <w:t xml:space="preserve">RED</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Jul 24,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DEF 14A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FY2020 proxy filed (0000320187-20-000049). §16(a) OMITTED (2nd year). Zero 10b5-1. 54% say-on-pay incoming</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DE8E8" w:val="clear"/>
            <w:tcMar>
              <w:top w:type="dxa" w:w="50"/>
              <w:left w:type="dxa" w:w="80"/>
              <w:bottom w:type="dxa" w:w="50"/>
              <w:right w:type="dxa" w:w="80"/>
            </w:tcMar>
          </w:tcPr>
          <w:p>
            <w:pPr>
              <w:jc w:val="center"/>
            </w:pPr>
            <w:r>
              <w:rPr>
                <w:rFonts w:ascii="Arial" w:cs="Arial" w:eastAsia="Arial" w:hAnsi="Arial"/>
                <w:b/>
                <w:bCs/>
                <w:color w:val="B91C1C"/>
                <w:sz w:val="13"/>
                <w:szCs w:val="13"/>
              </w:rPr>
              <w:t xml:space="preserve">RED</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Aug 15,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Q1 FY2021 blackout opens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Sep 19,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Form 4</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Board director annual RSU grants (Code A) — 12 directors</w:t>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Sep 22,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Q1 FY2021 earnings 8-K: Revenue $10.6B (down 1%). Digital +82%</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Sep 24–Oct 7</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Form 4</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PARKER 5-SALE CLUSTER: 415,906 shares / ~$52.9M in 13 days. All open window, 10b5-1. All filed within 2 biz days</w:t>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EF3C7" w:val="clear"/>
            <w:tcMar>
              <w:top w:type="dxa" w:w="50"/>
              <w:left w:type="dxa" w:w="80"/>
              <w:bottom w:type="dxa" w:w="50"/>
              <w:right w:type="dxa" w:w="80"/>
            </w:tcMar>
          </w:tcPr>
          <w:p>
            <w:pPr>
              <w:jc w:val="center"/>
            </w:pPr>
            <w:r>
              <w:rPr>
                <w:rFonts w:ascii="Arial" w:cs="Arial" w:eastAsia="Arial" w:hAnsi="Arial"/>
                <w:b/>
                <w:bCs/>
                <w:color w:val="92400E"/>
                <w:sz w:val="13"/>
                <w:szCs w:val="13"/>
              </w:rPr>
              <w:t xml:space="preserve">AMBER</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Oct 6,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FY2020 annual meeting (virtual). SAY-ON-PAY: 54%. All 4 shareholder proposals defeated. Bylaws amendment ratified</w:t>
            </w:r>
          </w:p>
        </w:tc>
        <w:tc>
          <w:tcPr>
            <w:tcW w:type="dxa" w:w="500"/>
            <w:tcBorders>
              <w:top w:val="single" w:color="999999" w:sz="1"/>
              <w:left w:val="single" w:color="999999" w:sz="1"/>
              <w:bottom w:val="single" w:color="999999" w:sz="1"/>
              <w:right w:val="single" w:color="999999" w:sz="1"/>
            </w:tcBorders>
            <w:shd w:fill="FDE8E8" w:val="clear"/>
            <w:tcMar>
              <w:top w:type="dxa" w:w="50"/>
              <w:left w:type="dxa" w:w="80"/>
              <w:bottom w:type="dxa" w:w="50"/>
              <w:right w:type="dxa" w:w="80"/>
            </w:tcMar>
          </w:tcPr>
          <w:p>
            <w:pPr>
              <w:jc w:val="center"/>
            </w:pPr>
            <w:r>
              <w:rPr>
                <w:rFonts w:ascii="Arial" w:cs="Arial" w:eastAsia="Arial" w:hAnsi="Arial"/>
                <w:b/>
                <w:bCs/>
                <w:color w:val="B91C1C"/>
                <w:sz w:val="13"/>
                <w:szCs w:val="13"/>
              </w:rPr>
              <w:t xml:space="preserve">RED</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~Oct 8,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10-Q</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Q1 10-Q filed (0000320187-20-000061). $10.6B revenue. Clean legal proceedings. No ITP risk factors. Consumer Direct Acceleration restructuring ($315M charges)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Nov 15,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Q2 FY2021 blackout opens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Dec 18,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Q2 FY2021 earnings 8-K: Revenue $11.2B (+9%). Digital +84%</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Dec 30, 2020</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Form 4</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Parker sells 130K @ $141.27 (~$18.4M). Open window. Filed Dec 31</w:t>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~Jan 5,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10-Q</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Q2 10-Q filed (0000320187-21-000003). $11.2B revenue. Clean legal proceedings. Zero 10b5-1/ITP references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~Jan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Swoosh LLC triple-insider board: 1-year anniversary. No 13D amendment filed. 13D now 4.5 YEARS stale</w:t>
            </w:r>
          </w:p>
        </w:tc>
        <w:tc>
          <w:tcPr>
            <w:tcW w:type="dxa" w:w="500"/>
            <w:tcBorders>
              <w:top w:val="single" w:color="999999" w:sz="1"/>
              <w:left w:val="single" w:color="999999" w:sz="1"/>
              <w:bottom w:val="single" w:color="999999" w:sz="1"/>
              <w:right w:val="single" w:color="999999" w:sz="1"/>
            </w:tcBorders>
            <w:shd w:fill="FDE8E8" w:val="clear"/>
            <w:tcMar>
              <w:top w:type="dxa" w:w="50"/>
              <w:left w:type="dxa" w:w="80"/>
              <w:bottom w:type="dxa" w:w="50"/>
              <w:right w:type="dxa" w:w="80"/>
            </w:tcMar>
          </w:tcPr>
          <w:p>
            <w:pPr>
              <w:jc w:val="center"/>
            </w:pPr>
            <w:r>
              <w:rPr>
                <w:rFonts w:ascii="Arial" w:cs="Arial" w:eastAsia="Arial" w:hAnsi="Arial"/>
                <w:b/>
                <w:bCs/>
                <w:color w:val="B91C1C"/>
                <w:sz w:val="13"/>
                <w:szCs w:val="13"/>
              </w:rPr>
              <w:t xml:space="preserve">RED</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Feb 15,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Q3 FY2021 blackout opens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Mar 15,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8-K: $1B revolving credit facility replaces $2B COVID facility. Terminated pandemic-era emergency borrowing capacity</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Mar 18,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Q3 FY2021 earnings 8-K: Revenue $10.4B (+3%). 45% of EMEA Nike-owned stores closed</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Mar 26,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Form 4</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Parker sells 114,094 @ $130.67 (~$14.9M). Open window. Filed Mar 29</w:t>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~Apr 1,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10-Q</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Q3 10-Q filed (0000320187-21-000012). Clean legal proceedings. $1B credit facility confirmed. Zero ITP/10b5-1 references across ALL 3 10-Qs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May 15,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Q4 FY2021 blackout opens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May 31,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FY2021 ends. Revenue $44.5B (+19%). Net income $5.7B (+126%). Parker FY2021 sales: ~$125M (9 transactions). ZERO insider purchases by ANY officer/director</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EF3C7" w:val="clear"/>
            <w:tcMar>
              <w:top w:type="dxa" w:w="50"/>
              <w:left w:type="dxa" w:w="80"/>
              <w:bottom w:type="dxa" w:w="50"/>
              <w:right w:type="dxa" w:w="80"/>
            </w:tcMar>
          </w:tcPr>
          <w:p>
            <w:pPr>
              <w:jc w:val="center"/>
            </w:pPr>
            <w:r>
              <w:rPr>
                <w:rFonts w:ascii="Arial" w:cs="Arial" w:eastAsia="Arial" w:hAnsi="Arial"/>
                <w:b/>
                <w:bCs/>
                <w:color w:val="92400E"/>
                <w:sz w:val="13"/>
                <w:szCs w:val="13"/>
              </w:rPr>
              <w:t xml:space="preserve">AMBER</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Jun 24,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Q4/FY2021 earnings 8-K: Q4 revenue $12.3B (+96% YoY). Diluted EPS $3.56</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3F4F6" w:val="clear"/>
            <w:tcMar>
              <w:top w:type="dxa" w:w="50"/>
              <w:left w:type="dxa" w:w="80"/>
              <w:bottom w:type="dxa" w:w="50"/>
              <w:right w:type="dxa" w:w="80"/>
            </w:tcMar>
          </w:tcPr>
          <w:p>
            <w:pPr>
              <w:jc w:val="center"/>
            </w:pPr>
            <w:r>
              <w:rPr>
                <w:rFonts w:ascii="Arial" w:cs="Arial" w:eastAsia="Arial" w:hAnsi="Arial"/>
                <w:b/>
                <w:bCs/>
                <w:color w:val="4B5563"/>
                <w:sz w:val="13"/>
                <w:szCs w:val="13"/>
              </w:rPr>
              <w:t xml:space="preserve">GREY</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Jul 8,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Form 4</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Parker sells 140K @ $160.16 (~$22.4M). Open window. Filed Jul 12</w:t>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D1FAE5" w:val="clear"/>
            <w:tcMar>
              <w:top w:type="dxa" w:w="50"/>
              <w:left w:type="dxa" w:w="80"/>
              <w:bottom w:type="dxa" w:w="50"/>
              <w:right w:type="dxa" w:w="80"/>
            </w:tcMar>
          </w:tcPr>
          <w:p>
            <w:pPr>
              <w:jc w:val="center"/>
            </w:pPr>
            <w:r>
              <w:rPr>
                <w:rFonts w:ascii="Arial" w:cs="Arial" w:eastAsia="Arial" w:hAnsi="Arial"/>
                <w:b/>
                <w:bCs/>
                <w:color w:val="065F46"/>
                <w:sz w:val="13"/>
                <w:szCs w:val="13"/>
              </w:rPr>
              <w:t xml:space="preserve">GREEN</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~Jul 20,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10-K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FY2021 10-K filed (0000320187-21-000028). Part III inc. by ref. ~18–20 risk factors — ZERO on dual-class/Swoosh/ITP/§16. No Exhibit 19. Ex 21 excludes Swoosh. No 10-K/A. ZERO instances of “10b5-1” in entire 10-K body</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500"/>
            <w:tcBorders>
              <w:top w:val="single" w:color="999999" w:sz="1"/>
              <w:left w:val="single" w:color="999999" w:sz="1"/>
              <w:bottom w:val="single" w:color="999999" w:sz="1"/>
              <w:right w:val="single" w:color="999999" w:sz="1"/>
            </w:tcBorders>
            <w:shd w:fill="FDE8E8" w:val="clear"/>
            <w:tcMar>
              <w:top w:type="dxa" w:w="50"/>
              <w:left w:type="dxa" w:w="80"/>
              <w:bottom w:type="dxa" w:w="50"/>
              <w:right w:type="dxa" w:w="80"/>
            </w:tcMar>
          </w:tcPr>
          <w:p>
            <w:pPr>
              <w:jc w:val="center"/>
            </w:pPr>
            <w:r>
              <w:rPr>
                <w:rFonts w:ascii="Arial" w:cs="Arial" w:eastAsia="Arial" w:hAnsi="Arial"/>
                <w:b/>
                <w:bCs/>
                <w:color w:val="B91C1C"/>
                <w:sz w:val="13"/>
                <w:szCs w:val="13"/>
              </w:rPr>
              <w:t xml:space="preserve">RED</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~Aug 9–17,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DEF 14A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FY2021 proxy filed (0000320187-21-000035). §16(a) RESTORED (“Delinquent Section 16(A) Reports” p.70) — signals ACTUAL DELINQUENCIES. Zero 10b5-1 disclosure (3rd consecutive year). Swoosh cross-directorships still undisclosed in bios. No DEFA14A supplements</w:t>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Comp Committee: engaged 37% of Class B holders; replaced cash LTIP with PSUs; increased CEO ownership guideline 6x→8x</w:t>
            </w:r>
          </w:p>
        </w:tc>
        <w:tc>
          <w:tcPr>
            <w:tcW w:type="dxa" w:w="500"/>
            <w:tcBorders>
              <w:top w:val="single" w:color="999999" w:sz="1"/>
              <w:left w:val="single" w:color="999999" w:sz="1"/>
              <w:bottom w:val="single" w:color="999999" w:sz="1"/>
              <w:right w:val="single" w:color="999999" w:sz="1"/>
            </w:tcBorders>
            <w:shd w:fill="FDE8E8" w:val="clear"/>
            <w:tcMar>
              <w:top w:type="dxa" w:w="50"/>
              <w:left w:type="dxa" w:w="80"/>
              <w:bottom w:type="dxa" w:w="50"/>
              <w:right w:type="dxa" w:w="80"/>
            </w:tcMar>
          </w:tcPr>
          <w:p>
            <w:pPr>
              <w:jc w:val="center"/>
            </w:pPr>
            <w:r>
              <w:rPr>
                <w:rFonts w:ascii="Arial" w:cs="Arial" w:eastAsia="Arial" w:hAnsi="Arial"/>
                <w:b/>
                <w:bCs/>
                <w:color w:val="B91C1C"/>
                <w:sz w:val="13"/>
                <w:szCs w:val="13"/>
              </w:rPr>
              <w:t xml:space="preserve">RED</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Oct 6,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8-K</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FY2021 annual meeting (virtual). Say-on-pay RECOVERED. 4 shareholder proposals defeated: political contributions 30.5%, human rights 27.7%, pay equity 17.6%, D&amp;I 35.6%. NO proposals on dual-class/Swoosh/insider trading</w:t>
            </w:r>
          </w:p>
        </w:tc>
        <w:tc>
          <w:tcPr>
            <w:tcW w:type="dxa" w:w="500"/>
            <w:tcBorders>
              <w:top w:val="single" w:color="999999" w:sz="1"/>
              <w:left w:val="single" w:color="999999" w:sz="1"/>
              <w:bottom w:val="single" w:color="999999" w:sz="1"/>
              <w:right w:val="single" w:color="999999" w:sz="1"/>
            </w:tcBorders>
            <w:shd w:fill="FEF3C7" w:val="clear"/>
            <w:tcMar>
              <w:top w:type="dxa" w:w="50"/>
              <w:left w:type="dxa" w:w="80"/>
              <w:bottom w:type="dxa" w:w="50"/>
              <w:right w:type="dxa" w:w="80"/>
            </w:tcMar>
          </w:tcPr>
          <w:p>
            <w:pPr>
              <w:jc w:val="center"/>
            </w:pPr>
            <w:r>
              <w:rPr>
                <w:rFonts w:ascii="Arial" w:cs="Arial" w:eastAsia="Arial" w:hAnsi="Arial"/>
                <w:b/>
                <w:bCs/>
                <w:color w:val="92400E"/>
                <w:sz w:val="13"/>
                <w:szCs w:val="13"/>
              </w:rPr>
              <w:t xml:space="preserve">AMBER</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~2009–2021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CORRESP</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B91C1C"/>
                <w:sz w:val="14"/>
                <w:szCs w:val="14"/>
              </w:rPr>
              <w:t xml:space="preserve">12-YEAR SEC COMMENT LETTER GAP. Zero UPLOAD/CORRESP filings. 4x SOX §408 triennial review interval. No regulatory scrutiny of any Nike disclosure via EDGAR correspondence</w:t>
            </w:r>
          </w:p>
        </w:tc>
        <w:tc>
          <w:tcPr>
            <w:tcW w:type="dxa" w:w="500"/>
            <w:tcBorders>
              <w:top w:val="single" w:color="999999" w:sz="1"/>
              <w:left w:val="single" w:color="999999" w:sz="1"/>
              <w:bottom w:val="single" w:color="999999" w:sz="1"/>
              <w:right w:val="single" w:color="999999" w:sz="1"/>
            </w:tcBorders>
            <w:shd w:fill="FDE8E8" w:val="clear"/>
            <w:tcMar>
              <w:top w:type="dxa" w:w="50"/>
              <w:left w:type="dxa" w:w="80"/>
              <w:bottom w:type="dxa" w:w="50"/>
              <w:right w:type="dxa" w:w="80"/>
            </w:tcMar>
          </w:tcPr>
          <w:p>
            <w:pPr>
              <w:jc w:val="center"/>
            </w:pPr>
            <w:r>
              <w:rPr>
                <w:rFonts w:ascii="Arial" w:cs="Arial" w:eastAsia="Arial" w:hAnsi="Arial"/>
                <w:b/>
                <w:bCs/>
                <w:color w:val="B91C1C"/>
                <w:sz w:val="13"/>
                <w:szCs w:val="13"/>
              </w:rPr>
              <w:t xml:space="preserve">RED</w:t>
            </w:r>
          </w:p>
        </w:tc>
      </w:tr>
      <w:tr>
        <w:tc>
          <w:tcPr>
            <w:tcW w:type="dxa" w:w="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1A1A1A"/>
                <w:sz w:val="14"/>
                <w:szCs w:val="14"/>
              </w:rPr>
              <w:t xml:space="preserve">Dec 15, 2021</w:t>
            </w:r>
          </w:p>
        </w:tc>
        <w:tc>
          <w:tcPr>
            <w:tcW w:type="dxa" w:w="62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bCs/>
                <w:color w:val="4B5563"/>
                <w:sz w:val="14"/>
                <w:szCs w:val="14"/>
              </w:rPr>
              <w:t xml:space="preserve">N/A</w:t>
            </w:r>
          </w:p>
        </w:tc>
        <w:tc>
          <w:tcPr>
            <w:tcW w:type="dxa" w:w="22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05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w:r>
          </w:p>
        </w:tc>
        <w:tc>
          <w:tcPr>
            <w:tcW w:type="dxa" w:w="223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before="8" w:after="8"/>
            </w:pPr>
            <w:r>
              <w:rPr>
                <w:rFonts w:ascii="Arial" w:cs="Arial" w:eastAsia="Arial" w:hAnsi="Arial"/>
                <w:b w:val="false"/>
                <w:bCs w:val="false"/>
                <w:color w:val="1A1A1A"/>
                <w:sz w:val="14"/>
                <w:szCs w:val="14"/>
              </w:rPr>
              <w:t xml:space="preserve">← POST-FY21: SEC proposes 10b5-1 amendments (Release 34-93782). Would require plan adoption dates, cooling-off periods, Form 4 checkbox. Nike had zero voluntary disclosure for 3 years</w:t>
            </w:r>
          </w:p>
        </w:tc>
        <w:tc>
          <w:tcPr>
            <w:tcW w:type="dxa" w:w="500"/>
            <w:tcBorders>
              <w:top w:val="single" w:color="999999" w:sz="1"/>
              <w:left w:val="single" w:color="999999" w:sz="1"/>
              <w:bottom w:val="single" w:color="999999" w:sz="1"/>
              <w:right w:val="single" w:color="999999" w:sz="1"/>
            </w:tcBorders>
            <w:shd w:fill="DBEAFE" w:val="clear"/>
            <w:tcMar>
              <w:top w:type="dxa" w:w="50"/>
              <w:left w:type="dxa" w:w="80"/>
              <w:bottom w:type="dxa" w:w="50"/>
              <w:right w:type="dxa" w:w="80"/>
            </w:tcMar>
          </w:tcPr>
          <w:p>
            <w:pPr>
              <w:jc w:val="center"/>
            </w:pPr>
            <w:r>
              <w:rPr>
                <w:rFonts w:ascii="Arial" w:cs="Arial" w:eastAsia="Arial" w:hAnsi="Arial"/>
                <w:b/>
                <w:bCs/>
                <w:color w:val="1E40AF"/>
                <w:sz w:val="13"/>
                <w:szCs w:val="13"/>
              </w:rPr>
              <w:t xml:space="preserve">BLUE</w:t>
            </w:r>
          </w:p>
        </w:tc>
      </w:tr>
    </w:tbl>
    <w:p>
      <w:r>
        <w:br w:type="page"/>
      </w:r>
    </w:p>
    <w:p>
      <w:pPr>
        <w:pStyle w:val="Heading1"/>
      </w:pPr>
      <w:r>
        <w:t xml:space="preserve">Critical Convergence Points — Full-Corpus FY2021</w:t>
      </w:r>
    </w:p>
    <w:p>
      <w:pPr>
        <w:pStyle w:val="Heading2"/>
      </w:pPr>
      <w:r>
        <w:t xml:space="preserve">Convergence 1: September 22 – October 8, 2020 (Earnings + $53M Cluster + Say-on-Pay Revolt + 10-Q)</w:t>
      </w:r>
    </w:p>
    <w:p>
      <w:pPr>
        <w:spacing w:before="0" w:after="130"/>
      </w:pPr>
      <w:r>
        <w:rPr>
          <w:rFonts w:ascii="Arial" w:cs="Arial" w:eastAsia="Arial" w:hAnsi="Arial"/>
          <w:b w:val="false"/>
          <w:bCs w:val="false"/>
          <w:color w:val="1A1A1A"/>
          <w:sz w:val="20"/>
          <w:szCs w:val="20"/>
        </w:rPr>
        <w:t xml:space="preserve">Parker executed five sales totaling $52.9M in 13 days starting two days after Q1 earnings. On October 6, the annual meeting delivered a 54% say-on-pay vote — the lowest in Nike history. Two days later, the Q1 10-Q was filed containing zero references to insider trading policies. The convergence of the Executive Chairman’s largest selling burst with the shareholder compensation revolt, bracketed by an SEC periodic filing that is completely silent on trading governance, is the most forensically dense FY2021 window across all 12 filing types.</w:t>
      </w:r>
    </w:p>
    <w:p>
      <w:pPr>
        <w:pStyle w:val="Heading2"/>
      </w:pPr>
      <w:r>
        <w:t xml:space="preserve">Convergence 2: July 20 – August 17, 2021 (10-K + Proxy = Dual Disclosure Failure)</w:t>
      </w:r>
    </w:p>
    <w:p>
      <w:pPr>
        <w:spacing w:before="0" w:after="130"/>
      </w:pPr>
      <w:r>
        <w:rPr>
          <w:rFonts w:ascii="Arial" w:cs="Arial" w:eastAsia="Arial" w:hAnsi="Arial"/>
          <w:b w:val="false"/>
          <w:bCs w:val="false"/>
          <w:color w:val="1A1A1A"/>
          <w:sz w:val="20"/>
          <w:szCs w:val="20"/>
        </w:rPr>
        <w:t xml:space="preserve">The 10-K (July 20) and DEF 14A (August 9–17) were filed within a month. Together they constitute Nike’s complete annual disclosure package. The 10-K contains zero instances of “10b5-1,” zero dual-class risk factors, no Exhibit 19, and defers all governance to the proxy. The proxy restores the Section 16(a) delinquency section (signaling actual late filings), contains zero 10b5-1 plan disclosure for the third consecutive year, and still omits Swoosh LLC directorships from Parker/Donahoe/Graf biographies. The Compensation Committee’s aggressive say-on-pay response (37% engagement, PSU adoption, 8x ownership guidelines) is genuine — but applies only to compensation governance, not trading governance or controlling-shareholder governance.</w:t>
      </w:r>
    </w:p>
    <w:p>
      <w:pPr>
        <w:pStyle w:val="Heading2"/>
      </w:pPr>
      <w:r>
        <w:t xml:space="preserve">Convergence 3: The 12-Year Regulatory Vacuum (2009–2021)</w:t>
      </w:r>
    </w:p>
    <w:p>
      <w:pPr>
        <w:spacing w:before="0" w:after="130"/>
      </w:pPr>
      <w:r>
        <w:rPr>
          <w:rFonts w:ascii="Arial" w:cs="Arial" w:eastAsia="Arial" w:hAnsi="Arial"/>
          <w:b w:val="false"/>
          <w:bCs w:val="false"/>
          <w:color w:val="1A1A1A"/>
          <w:sz w:val="20"/>
          <w:szCs w:val="20"/>
        </w:rPr>
        <w:t xml:space="preserve">The complete absence of SEC correspondence for 12 years means that every filing-type gap identified in this audit — absent dual-class risk factors, invisible insider trading policy, stale Swoosh 13D, unfiled employment agreements — has existed without SEC staff challenge. Under SOX §408, the SEC is required to review each issuer’s filings at least triennially. Nike has gone 4x the statutory maximum without public correspondence. This regulatory vacuum is the single most consequential cross-filing finding because it means the market’s price discovery mechanism has operated for over a decade without the SEC’s normal quality-control function.</w:t>
      </w:r>
    </w:p>
    <w:p>
      <w:pPr>
        <w:pStyle w:val="Heading1"/>
      </w:pPr>
      <w:r>
        <w:t xml:space="preserve">Methodology</w:t>
      </w:r>
    </w:p>
    <w:p>
      <w:pPr>
        <w:spacing w:before="0" w:after="130"/>
      </w:pPr>
      <w:r>
        <w:rPr>
          <w:rFonts w:ascii="Arial" w:cs="Arial" w:eastAsia="Arial" w:hAnsi="Arial"/>
          <w:b w:val="false"/>
          <w:bCs w:val="false"/>
          <w:color w:val="4B5563"/>
          <w:sz w:val="18"/>
          <w:szCs w:val="18"/>
        </w:rPr>
        <w:t xml:space="preserve">Ground-up audit of all 12 EDGAR filing categories for Nike CIK 0000320187 during June 2020–October 2021: 10-K, 10-Q (x3), 8-K (x7), DEF 14A, Form 3/4/5, S-8, SC 13D/G, SEC CORRESP, 13F, 424B, material contract exhibits, and annual meeting results. Each filing cross-referenced against every other for consistency. Investor-facing communications (earnings press releases, Nike Investor Relations website, proxy materials via ProxyVote) also reviewed. Accession numbers cited for all material filings.</w:t>
      </w:r>
    </w:p>
    <w:sectPr>
      <w:headerReference w:type="default" r:id="rId6"/>
      <w:footerReference w:type="default" r:id="rId7"/>
      <w:pgSz w:w="12240" w:h="15840"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3"/>
        <w:szCs w:val="13"/>
      </w:rPr>
      <w:t xml:space="preserve">Nike Inc. (CIK 0000320187) — FY2021 Full-Corpus Forensic Timeline — 12 Filing Types Cross-Referenced</w:t>
    </w:r>
    <w:r>
      <w:rPr>
        <w:rFonts w:ascii="Arial" w:cs="Arial" w:eastAsia="Arial" w:hAnsi="Arial"/>
        <w:color w:val="999999"/>
        <w:sz w:val="13"/>
        <w:szCs w:val="13"/>
      </w:rPr>
      <w:ptab w:alignment="right" w:relativeTo="margin" w:leader="none"/>
    </w:r>
    <w:r>
      <w:rPr>
        <w:rFonts w:ascii="Arial" w:cs="Arial" w:eastAsia="Arial" w:hAnsi="Arial"/>
        <w:color w:val="999999"/>
        <w:sz w:val="13"/>
        <w:szCs w:val="13"/>
      </w:rPr>
      <w:t xml:space="preserve">Page </w:t>
    </w:r>
    <w:r>
      <w:rPr>
        <w:rFonts w:ascii="Arial" w:cs="Arial" w:eastAsia="Arial" w:hAnsi="Arial"/>
        <w:color w:val="99999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1B2D" w:sz="4" w:space="4"/>
      </w:pBdr>
    </w:pPr>
    <w:r>
      <w:rPr>
        <w:rFonts w:ascii="Arial" w:cs="Arial" w:eastAsia="Arial" w:hAnsi="Arial"/>
        <w:b/>
        <w:bCs/>
        <w:color w:val="B91C1C"/>
        <w:sz w:val="14"/>
        <w:szCs w:val="14"/>
      </w:rPr>
      <w:t xml:space="preserve">PRIVILEGED &amp; CONFIDENTIAL  |  FULL-CORPUS EDGAR AUDIT  |  ATTORNEY WORK PRODUCT</w:t>
    </w:r>
    <w:r>
      <w:rPr>
        <w:rFonts w:ascii="Arial" w:cs="Arial" w:eastAsia="Arial" w:hAnsi="Arial"/>
        <w:sz w:val="14"/>
        <w:szCs w:val="14"/>
      </w:rPr>
      <w:t xml:space="preserve">                                                                    </w:t>
    </w:r>
    <w:r>
      <w:rPr>
        <w:rFonts w:ascii="Arial" w:cs="Arial" w:eastAsia="Arial" w:hAnsi="Arial"/>
        <w:color w:val="999999"/>
        <w:sz w:val="14"/>
        <w:szCs w:val="14"/>
      </w:rPr>
      <w:t xml:space="preserve">JLAW Forensic Intelligence Platform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0F1B2D"/>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0F1B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2026-03-10T04:49:54.165Z</dcterms:created>
  <dcterms:modified xsi:type="dcterms:W3CDTF">2026-03-10T04:49:54.166Z</dcterms:modified>
</cp:coreProperties>
</file>

<file path=docProps/custom.xml><?xml version="1.0" encoding="utf-8"?>
<Properties xmlns="http://schemas.openxmlformats.org/officeDocument/2006/custom-properties" xmlns:vt="http://schemas.openxmlformats.org/officeDocument/2006/docPropsVTypes"/>
</file>