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2545" w:sz="6" w:space="8"/>
        </w:pBdr>
        <w:spacing w:after="140"/>
        <w:jc w:val="center"/>
      </w:pPr>
      <w:r>
        <w:rPr>
          <w:rFonts w:ascii="Arial" w:cs="Arial" w:eastAsia="Arial" w:hAnsi="Arial"/>
          <w:b/>
          <w:bCs/>
          <w:color w:val="0B2545"/>
          <w:sz w:val="32"/>
          <w:szCs w:val="32"/>
        </w:rPr>
        <w:t xml:space="preserve">GOVERNANCE BRIEFING MEMORANDUM — FY2021 FULL-CORPUS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left w:val="none"/>
              <w:bottom w:val="none"/>
              <w:right w:val="none"/>
            </w:tcBorders>
            <w:tcMar>
              <w:top w:type="dxa" w:w="50"/>
              <w:left w:type="dxa" w:w="85"/>
              <w:bottom w:type="dxa" w:w="50"/>
              <w:right w:type="dxa" w:w="85"/>
            </w:tcMar>
          </w:tcPr>
          <w:p>
            <w:r>
              <w:rPr>
                <w:rFonts w:ascii="Arial" w:cs="Arial" w:eastAsia="Arial" w:hAnsi="Arial"/>
                <w:b/>
                <w:bCs/>
                <w:color w:val="0B2545"/>
                <w:sz w:val="21"/>
                <w:szCs w:val="21"/>
              </w:rPr>
              <w:t xml:space="preserve">TO:</w:t>
            </w:r>
          </w:p>
        </w:tc>
        <w:tc>
          <w:tcPr>
            <w:tcW w:type="dxa" w:w="7860"/>
            <w:tcBorders>
              <w:top w:val="none"/>
              <w:left w:val="none"/>
              <w:bottom w:val="none"/>
              <w:right w:val="none"/>
            </w:tcBorders>
            <w:tcMar>
              <w:top w:type="dxa" w:w="50"/>
              <w:left w:type="dxa" w:w="85"/>
              <w:bottom w:type="dxa" w:w="50"/>
              <w:right w:type="dxa" w:w="85"/>
            </w:tcMar>
          </w:tcPr>
          <w:p>
            <w:r>
              <w:rPr>
                <w:rFonts w:ascii="Arial" w:cs="Arial" w:eastAsia="Arial" w:hAnsi="Arial"/>
                <w:sz w:val="21"/>
                <w:szCs w:val="21"/>
              </w:rPr>
              <w:t xml:space="preserve">ISS Governance Research Division — U.S. Large Cap Coverage</w:t>
            </w:r>
          </w:p>
        </w:tc>
      </w:tr>
      <w:tr>
        <w:tc>
          <w:tcPr>
            <w:tcW w:type="dxa" w:w="1500"/>
            <w:tcBorders>
              <w:top w:val="none"/>
              <w:left w:val="none"/>
              <w:bottom w:val="none"/>
              <w:right w:val="none"/>
            </w:tcBorders>
            <w:tcMar>
              <w:top w:type="dxa" w:w="50"/>
              <w:left w:type="dxa" w:w="85"/>
              <w:bottom w:type="dxa" w:w="50"/>
              <w:right w:type="dxa" w:w="85"/>
            </w:tcMar>
          </w:tcPr>
          <w:p>
            <w:r>
              <w:rPr>
                <w:rFonts w:ascii="Arial" w:cs="Arial" w:eastAsia="Arial" w:hAnsi="Arial"/>
                <w:b/>
                <w:bCs/>
                <w:color w:val="0B2545"/>
                <w:sz w:val="21"/>
                <w:szCs w:val="21"/>
              </w:rPr>
              <w:t xml:space="preserve">FROM:</w:t>
            </w:r>
          </w:p>
        </w:tc>
        <w:tc>
          <w:tcPr>
            <w:tcW w:type="dxa" w:w="7860"/>
            <w:tcBorders>
              <w:top w:val="none"/>
              <w:left w:val="none"/>
              <w:bottom w:val="none"/>
              <w:right w:val="none"/>
            </w:tcBorders>
            <w:tcMar>
              <w:top w:type="dxa" w:w="50"/>
              <w:left w:type="dxa" w:w="85"/>
              <w:bottom w:type="dxa" w:w="50"/>
              <w:right w:type="dxa" w:w="85"/>
            </w:tcMar>
          </w:tcPr>
          <w:p>
            <w:r>
              <w:rPr>
                <w:rFonts w:ascii="Arial" w:cs="Arial" w:eastAsia="Arial" w:hAnsi="Arial"/>
                <w:sz w:val="21"/>
                <w:szCs w:val="21"/>
              </w:rPr>
              <w:t xml:space="preserve">JLAW Forensic Intelligence Platform v4</w:t>
            </w:r>
          </w:p>
        </w:tc>
      </w:tr>
      <w:tr>
        <w:tc>
          <w:tcPr>
            <w:tcW w:type="dxa" w:w="1500"/>
            <w:tcBorders>
              <w:top w:val="none"/>
              <w:left w:val="none"/>
              <w:bottom w:val="none"/>
              <w:right w:val="none"/>
            </w:tcBorders>
            <w:tcMar>
              <w:top w:type="dxa" w:w="50"/>
              <w:left w:type="dxa" w:w="85"/>
              <w:bottom w:type="dxa" w:w="50"/>
              <w:right w:type="dxa" w:w="85"/>
            </w:tcMar>
          </w:tcPr>
          <w:p>
            <w:r>
              <w:rPr>
                <w:rFonts w:ascii="Arial" w:cs="Arial" w:eastAsia="Arial" w:hAnsi="Arial"/>
                <w:b/>
                <w:bCs/>
                <w:color w:val="0B2545"/>
                <w:sz w:val="21"/>
                <w:szCs w:val="21"/>
              </w:rPr>
              <w:t xml:space="preserve">DATE:</w:t>
            </w:r>
          </w:p>
        </w:tc>
        <w:tc>
          <w:tcPr>
            <w:tcW w:type="dxa" w:w="7860"/>
            <w:tcBorders>
              <w:top w:val="none"/>
              <w:left w:val="none"/>
              <w:bottom w:val="none"/>
              <w:right w:val="none"/>
            </w:tcBorders>
            <w:tcMar>
              <w:top w:type="dxa" w:w="50"/>
              <w:left w:type="dxa" w:w="85"/>
              <w:bottom w:type="dxa" w:w="50"/>
              <w:right w:type="dxa" w:w="85"/>
            </w:tcMar>
          </w:tcPr>
          <w:p>
            <w:r>
              <w:rPr>
                <w:rFonts w:ascii="Arial" w:cs="Arial" w:eastAsia="Arial" w:hAnsi="Arial"/>
                <w:sz w:val="21"/>
                <w:szCs w:val="21"/>
              </w:rPr>
              <w:t xml:space="preserve">March 9, 2026</w:t>
            </w:r>
          </w:p>
        </w:tc>
      </w:tr>
      <w:tr>
        <w:tc>
          <w:tcPr>
            <w:tcW w:type="dxa" w:w="1500"/>
            <w:tcBorders>
              <w:top w:val="none"/>
              <w:left w:val="none"/>
              <w:bottom w:val="none"/>
              <w:right w:val="none"/>
            </w:tcBorders>
            <w:tcMar>
              <w:top w:type="dxa" w:w="50"/>
              <w:left w:type="dxa" w:w="85"/>
              <w:bottom w:type="dxa" w:w="50"/>
              <w:right w:type="dxa" w:w="85"/>
            </w:tcMar>
          </w:tcPr>
          <w:p>
            <w:r>
              <w:rPr>
                <w:rFonts w:ascii="Arial" w:cs="Arial" w:eastAsia="Arial" w:hAnsi="Arial"/>
                <w:b/>
                <w:bCs/>
                <w:color w:val="0B2545"/>
                <w:sz w:val="21"/>
                <w:szCs w:val="21"/>
              </w:rPr>
              <w:t xml:space="preserve">RE:</w:t>
            </w:r>
          </w:p>
        </w:tc>
        <w:tc>
          <w:tcPr>
            <w:tcW w:type="dxa" w:w="7860"/>
            <w:tcBorders>
              <w:top w:val="none"/>
              <w:left w:val="none"/>
              <w:bottom w:val="none"/>
              <w:right w:val="none"/>
            </w:tcBorders>
            <w:tcMar>
              <w:top w:type="dxa" w:w="50"/>
              <w:left w:type="dxa" w:w="85"/>
              <w:bottom w:type="dxa" w:w="50"/>
              <w:right w:type="dxa" w:w="85"/>
            </w:tcMar>
          </w:tcPr>
          <w:p>
            <w:r>
              <w:rPr>
                <w:rFonts w:ascii="Arial" w:cs="Arial" w:eastAsia="Arial" w:hAnsi="Arial"/>
                <w:b/>
                <w:bCs/>
                <w:sz w:val="21"/>
                <w:szCs w:val="21"/>
              </w:rPr>
              <w:t xml:space="preserve">FINAL: Nike Swoosh LLC — 12-Category EDGAR Audit Confirms Five-Year Disclosure Gap Across All Filing Types</w:t>
            </w:r>
          </w:p>
        </w:tc>
      </w:tr>
      <w:tr>
        <w:tc>
          <w:tcPr>
            <w:tcW w:type="dxa" w:w="1500"/>
            <w:tcBorders>
              <w:top w:val="none"/>
              <w:left w:val="none"/>
              <w:bottom w:val="none"/>
              <w:right w:val="none"/>
            </w:tcBorders>
            <w:tcMar>
              <w:top w:type="dxa" w:w="50"/>
              <w:left w:type="dxa" w:w="85"/>
              <w:bottom w:type="dxa" w:w="50"/>
              <w:right w:type="dxa" w:w="85"/>
            </w:tcMar>
          </w:tcPr>
          <w:p>
            <w:r>
              <w:rPr>
                <w:rFonts w:ascii="Arial" w:cs="Arial" w:eastAsia="Arial" w:hAnsi="Arial"/>
                <w:b/>
                <w:bCs/>
                <w:color w:val="0B2545"/>
                <w:sz w:val="21"/>
                <w:szCs w:val="21"/>
              </w:rPr>
              <w:t xml:space="preserve">COMPANY:</w:t>
            </w:r>
          </w:p>
        </w:tc>
        <w:tc>
          <w:tcPr>
            <w:tcW w:type="dxa" w:w="7860"/>
            <w:tcBorders>
              <w:top w:val="none"/>
              <w:left w:val="none"/>
              <w:bottom w:val="none"/>
              <w:right w:val="none"/>
            </w:tcBorders>
            <w:tcMar>
              <w:top w:type="dxa" w:w="50"/>
              <w:left w:type="dxa" w:w="85"/>
              <w:bottom w:type="dxa" w:w="50"/>
              <w:right w:type="dxa" w:w="85"/>
            </w:tcMar>
          </w:tcPr>
          <w:p>
            <w:r>
              <w:rPr>
                <w:rFonts w:ascii="Arial" w:cs="Arial" w:eastAsia="Arial" w:hAnsi="Arial"/>
                <w:sz w:val="21"/>
                <w:szCs w:val="21"/>
              </w:rPr>
              <w:t xml:space="preserve">Nike, Inc. (NYSE: NKE) | CIK 0000320187 | S&amp;P 500</w:t>
            </w:r>
          </w:p>
        </w:tc>
      </w:tr>
      <w:tr>
        <w:tc>
          <w:tcPr>
            <w:tcW w:type="dxa" w:w="1500"/>
            <w:tcBorders>
              <w:top w:val="none"/>
              <w:left w:val="none"/>
              <w:bottom w:val="none"/>
              <w:right w:val="none"/>
            </w:tcBorders>
            <w:tcMar>
              <w:top w:type="dxa" w:w="50"/>
              <w:left w:type="dxa" w:w="85"/>
              <w:bottom w:type="dxa" w:w="50"/>
              <w:right w:type="dxa" w:w="85"/>
            </w:tcMar>
          </w:tcPr>
          <w:p>
            <w:r>
              <w:rPr>
                <w:rFonts w:ascii="Arial" w:cs="Arial" w:eastAsia="Arial" w:hAnsi="Arial"/>
                <w:b/>
                <w:bCs/>
                <w:color w:val="0B2545"/>
                <w:sz w:val="21"/>
                <w:szCs w:val="21"/>
              </w:rPr>
              <w:t xml:space="preserve">PRIOR MEMOS:</w:t>
            </w:r>
          </w:p>
        </w:tc>
        <w:tc>
          <w:tcPr>
            <w:tcW w:type="dxa" w:w="7860"/>
            <w:tcBorders>
              <w:top w:val="none"/>
              <w:left w:val="none"/>
              <w:bottom w:val="none"/>
              <w:right w:val="none"/>
            </w:tcBorders>
            <w:tcMar>
              <w:top w:type="dxa" w:w="50"/>
              <w:left w:type="dxa" w:w="85"/>
              <w:bottom w:type="dxa" w:w="50"/>
              <w:right w:type="dxa" w:w="85"/>
            </w:tcMar>
          </w:tcPr>
          <w:p>
            <w:r>
              <w:rPr>
                <w:rFonts w:ascii="Arial" w:cs="Arial" w:eastAsia="Arial" w:hAnsi="Arial"/>
                <w:sz w:val="21"/>
                <w:szCs w:val="21"/>
              </w:rPr>
              <w:t xml:space="preserve">FY2019 (Mar 6, 2026) | FY2020 proxy-only (Mar 8) | FY2020 full-corpus (Mar 9) | FY2021 proxy-only (Mar 8)</w:t>
            </w:r>
          </w:p>
        </w:tc>
      </w:tr>
    </w:tbl>
    <w:p>
      <w:pPr>
        <w:pBdr>
          <w:bottom w:val="single" w:color="0B2545" w:sz="2" w:space="8"/>
        </w:pBdr>
        <w:spacing w:before="140"/>
      </w:pPr>
    </w:p>
    <w:p>
      <w:pPr>
        <w:pStyle w:val="Heading1"/>
      </w:pPr>
      <w:r>
        <w:t xml:space="preserve">What the Full-Corpus Audit Adds to Prior Swoosh Analysis</w:t>
      </w:r>
    </w:p>
    <w:p>
      <w:pPr>
        <w:spacing w:before="0" w:after="120"/>
      </w:pPr>
      <w:r>
        <w:rPr>
          <w:rFonts w:ascii="Arial" w:cs="Arial" w:eastAsia="Arial" w:hAnsi="Arial"/>
          <w:b w:val="false"/>
          <w:bCs w:val="false"/>
          <w:i w:val="false"/>
          <w:iCs w:val="false"/>
          <w:color w:val="1A1A1A"/>
          <w:sz w:val="21"/>
          <w:szCs w:val="21"/>
        </w:rPr>
        <w:t xml:space="preserve">This memo completes the FY2020–FY2021 full-corpus audit series. Prior memos identified the Swoosh cross-directorship using proxy and 13D data. The 12-category EDGAR audit reveals three additional dimensions invisible to proxy-only review:</w:t>
      </w:r>
    </w:p>
    <w:p>
      <w:pPr>
        <w:spacing w:before="0" w:after="120"/>
      </w:pPr>
      <w:r>
        <w:rPr>
          <w:rFonts w:ascii="Arial" w:cs="Arial" w:eastAsia="Arial" w:hAnsi="Arial"/>
          <w:b w:val="false"/>
          <w:bCs w:val="false"/>
          <w:i w:val="false"/>
          <w:iCs w:val="false"/>
          <w:color w:val="1A1A1A"/>
          <w:sz w:val="21"/>
          <w:szCs w:val="21"/>
        </w:rPr>
        <w:t xml:space="preserve">First, the 10-K risk factors actively exclude dual-class governance. Nike’s FY2021 10-K contains approximately 18–20 risk factor categories — NONE addressing controlling shareholder influence, dual-class voting disparity, or the Swoosh governance arrangement. Earlier 10-Ks included an anti-takeover risk factor referencing Knight’s controlling Class A ownership. This was removed and never restored. The deliberate excision of this risk factor represents a governance disclosure regression that the proxy alone cannot detect.</w:t>
      </w:r>
    </w:p>
    <w:p>
      <w:pPr>
        <w:spacing w:before="0" w:after="120"/>
      </w:pPr>
      <w:r>
        <w:rPr>
          <w:rFonts w:ascii="Arial" w:cs="Arial" w:eastAsia="Arial" w:hAnsi="Arial"/>
          <w:b w:val="false"/>
          <w:bCs w:val="false"/>
          <w:i w:val="false"/>
          <w:iCs w:val="false"/>
          <w:color w:val="1A1A1A"/>
          <w:sz w:val="21"/>
          <w:szCs w:val="21"/>
        </w:rPr>
        <w:t xml:space="preserve">Second, the 12-year SEC correspondence vacuum means no external regulator has challenged Swoosh disclosure. Under SOX §408, the SEC must review each reporting company’s filings at least triennially. Nike has gone 4x the statutory maximum without public correspondence. The practical consequence: every Swoosh disclosure deficiency identified since 2015 has persisted without SEC staff question or comment.</w:t>
      </w:r>
    </w:p>
    <w:p>
      <w:pPr>
        <w:spacing w:before="0" w:after="120"/>
      </w:pPr>
      <w:r>
        <w:rPr>
          <w:rFonts w:ascii="Arial" w:cs="Arial" w:eastAsia="Arial" w:hAnsi="Arial"/>
          <w:b w:val="false"/>
          <w:bCs w:val="false"/>
          <w:i w:val="false"/>
          <w:iCs w:val="false"/>
          <w:color w:val="1A1A1A"/>
          <w:sz w:val="21"/>
          <w:szCs w:val="21"/>
        </w:rPr>
        <w:t xml:space="preserve">Third, the §16(a) delinquency restoration signals filing discipline erosion. The FY2021 proxy restored the “Delinquent Section 16(A) Reports” section after multi-year absence, suggesting insider filing late-ness coincided with the triple-insider Swoosh board’s first full year of operation. While likely attributable to new-officer administrative errors rather than Swoosh-related trading, the temporal correlation warrants noting.</w:t>
      </w:r>
    </w:p>
    <w:p>
      <w:pPr>
        <w:pStyle w:val="Heading1"/>
      </w:pPr>
      <w:r>
        <w:t xml:space="preserve">Filing-by-Filing Swoosh Content Analysis: FY2021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3460"/>
      </w:tblGrid>
      <w:tr>
        <w:tc>
          <w:tcPr>
            <w:tcW w:type="dxa" w:w="1400"/>
            <w:tcBorders>
              <w:top w:val="single" w:color="AAAAAA" w:sz="1"/>
              <w:left w:val="single" w:color="AAAAAA" w:sz="1"/>
              <w:bottom w:val="single" w:color="AAAAAA" w:sz="1"/>
              <w:right w:val="single" w:color="AAAAAA" w:sz="1"/>
            </w:tcBorders>
            <w:shd w:fill="0B2545" w:val="clear"/>
            <w:tcMar>
              <w:top w:type="dxa" w:w="50"/>
              <w:left w:type="dxa" w:w="85"/>
              <w:bottom w:type="dxa" w:w="50"/>
              <w:right w:type="dxa" w:w="85"/>
            </w:tcMar>
          </w:tcPr>
          <w:p>
            <w:r>
              <w:rPr>
                <w:rFonts w:ascii="Arial" w:cs="Arial" w:eastAsia="Arial" w:hAnsi="Arial"/>
                <w:b/>
                <w:bCs/>
                <w:color w:val="FFFFFF"/>
                <w:sz w:val="15"/>
                <w:szCs w:val="15"/>
              </w:rPr>
              <w:t xml:space="preserve">FILING TYPE</w:t>
            </w:r>
          </w:p>
        </w:tc>
        <w:tc>
          <w:tcPr>
            <w:tcW w:type="dxa" w:w="1500"/>
            <w:tcBorders>
              <w:top w:val="single" w:color="AAAAAA" w:sz="1"/>
              <w:left w:val="single" w:color="AAAAAA" w:sz="1"/>
              <w:bottom w:val="single" w:color="AAAAAA" w:sz="1"/>
              <w:right w:val="single" w:color="AAAAAA" w:sz="1"/>
            </w:tcBorders>
            <w:shd w:fill="0B2545" w:val="clear"/>
            <w:tcMar>
              <w:top w:type="dxa" w:w="50"/>
              <w:left w:type="dxa" w:w="85"/>
              <w:bottom w:type="dxa" w:w="50"/>
              <w:right w:type="dxa" w:w="85"/>
            </w:tcMar>
          </w:tcPr>
          <w:p>
            <w:r>
              <w:rPr>
                <w:rFonts w:ascii="Arial" w:cs="Arial" w:eastAsia="Arial" w:hAnsi="Arial"/>
                <w:b/>
                <w:bCs/>
                <w:color w:val="FFFFFF"/>
                <w:sz w:val="15"/>
                <w:szCs w:val="15"/>
              </w:rPr>
              <w:t xml:space="preserve">PARKER</w:t>
            </w:r>
          </w:p>
        </w:tc>
        <w:tc>
          <w:tcPr>
            <w:tcW w:type="dxa" w:w="1500"/>
            <w:tcBorders>
              <w:top w:val="single" w:color="AAAAAA" w:sz="1"/>
              <w:left w:val="single" w:color="AAAAAA" w:sz="1"/>
              <w:bottom w:val="single" w:color="AAAAAA" w:sz="1"/>
              <w:right w:val="single" w:color="AAAAAA" w:sz="1"/>
            </w:tcBorders>
            <w:shd w:fill="0B2545" w:val="clear"/>
            <w:tcMar>
              <w:top w:type="dxa" w:w="50"/>
              <w:left w:type="dxa" w:w="85"/>
              <w:bottom w:type="dxa" w:w="50"/>
              <w:right w:type="dxa" w:w="85"/>
            </w:tcMar>
          </w:tcPr>
          <w:p>
            <w:r>
              <w:rPr>
                <w:rFonts w:ascii="Arial" w:cs="Arial" w:eastAsia="Arial" w:hAnsi="Arial"/>
                <w:b/>
                <w:bCs/>
                <w:color w:val="FFFFFF"/>
                <w:sz w:val="15"/>
                <w:szCs w:val="15"/>
              </w:rPr>
              <w:t xml:space="preserve">DONAHOE</w:t>
            </w:r>
          </w:p>
        </w:tc>
        <w:tc>
          <w:tcPr>
            <w:tcW w:type="dxa" w:w="1500"/>
            <w:tcBorders>
              <w:top w:val="single" w:color="AAAAAA" w:sz="1"/>
              <w:left w:val="single" w:color="AAAAAA" w:sz="1"/>
              <w:bottom w:val="single" w:color="AAAAAA" w:sz="1"/>
              <w:right w:val="single" w:color="AAAAAA" w:sz="1"/>
            </w:tcBorders>
            <w:shd w:fill="0B2545" w:val="clear"/>
            <w:tcMar>
              <w:top w:type="dxa" w:w="50"/>
              <w:left w:type="dxa" w:w="85"/>
              <w:bottom w:type="dxa" w:w="50"/>
              <w:right w:type="dxa" w:w="85"/>
            </w:tcMar>
          </w:tcPr>
          <w:p>
            <w:r>
              <w:rPr>
                <w:rFonts w:ascii="Arial" w:cs="Arial" w:eastAsia="Arial" w:hAnsi="Arial"/>
                <w:b/>
                <w:bCs/>
                <w:color w:val="FFFFFF"/>
                <w:sz w:val="15"/>
                <w:szCs w:val="15"/>
              </w:rPr>
              <w:t xml:space="preserve">GRAF</w:t>
            </w:r>
          </w:p>
        </w:tc>
        <w:tc>
          <w:tcPr>
            <w:tcW w:type="dxa" w:w="3460"/>
            <w:tcBorders>
              <w:top w:val="single" w:color="AAAAAA" w:sz="1"/>
              <w:left w:val="single" w:color="AAAAAA" w:sz="1"/>
              <w:bottom w:val="single" w:color="AAAAAA" w:sz="1"/>
              <w:right w:val="single" w:color="AAAAAA" w:sz="1"/>
            </w:tcBorders>
            <w:shd w:fill="0B2545" w:val="clear"/>
            <w:tcMar>
              <w:top w:type="dxa" w:w="50"/>
              <w:left w:type="dxa" w:w="85"/>
              <w:bottom w:type="dxa" w:w="50"/>
              <w:right w:type="dxa" w:w="85"/>
            </w:tcMar>
          </w:tcPr>
          <w:p>
            <w:r>
              <w:rPr>
                <w:rFonts w:ascii="Arial" w:cs="Arial" w:eastAsia="Arial" w:hAnsi="Arial"/>
                <w:b/>
                <w:bCs/>
                <w:color w:val="FFFFFF"/>
                <w:sz w:val="15"/>
                <w:szCs w:val="15"/>
              </w:rPr>
              <w:t xml:space="preserve">SWOOSH DISCLOSURE?</w:t>
            </w:r>
          </w:p>
        </w:tc>
      </w:tr>
      <w:tr>
        <w:tc>
          <w:tcPr>
            <w:tcW w:type="dxa" w:w="14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10-K FY2021</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Listed as Exec Chairman (Part I bios)</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Listed as CEO (Part I bios)</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Not mentioned</w:t>
            </w:r>
          </w:p>
        </w:tc>
        <w:tc>
          <w:tcPr>
            <w:tcW w:type="dxa" w:w="34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NONE. Zero risk factors on dual-class. No Exhibit 19. Swoosh absent from entire filing</w:t>
            </w:r>
          </w:p>
        </w:tc>
      </w:tr>
      <w:tr>
        <w:tc>
          <w:tcPr>
            <w:tcW w:type="dxa" w:w="14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10-Q (x3)</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Not named</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Not named</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Not named</w:t>
            </w:r>
          </w:p>
        </w:tc>
        <w:tc>
          <w:tcPr>
            <w:tcW w:type="dxa" w:w="34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NONE. Zero governance references across 3 quarterly filings</w:t>
            </w:r>
          </w:p>
        </w:tc>
      </w:tr>
      <w:tr>
        <w:tc>
          <w:tcPr>
            <w:tcW w:type="dxa" w:w="14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8-K (x7)</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Not named</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Not named</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Not named</w:t>
            </w:r>
          </w:p>
        </w:tc>
        <w:tc>
          <w:tcPr>
            <w:tcW w:type="dxa" w:w="34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NONE. 7 8-Ks: earnings, bylaws, credit facility. Zero Swoosh references</w:t>
            </w:r>
          </w:p>
        </w:tc>
      </w:tr>
      <w:tr>
        <w:tc>
          <w:tcPr>
            <w:tcW w:type="dxa" w:w="14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DEF 14A</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Bio: Exec Chairman. NO Swoosh mention</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Bio: ServiceNow/eBay. NO Swoosh mention</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Bio: FedEx. NO Swoosh mention</w:t>
            </w:r>
          </w:p>
        </w:tc>
        <w:tc>
          <w:tcPr>
            <w:tcW w:type="dxa" w:w="34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ONLY Knight bio mentions Swoosh. Not in independence analysis, RPT, governance section, or CD&amp;A</w:t>
            </w:r>
          </w:p>
        </w:tc>
      </w:tr>
      <w:tr>
        <w:tc>
          <w:tcPr>
            <w:tcW w:type="dxa" w:w="14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Form 4 (9 Parker)</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Footnotes: “Scheduled” / 10b5-1 refs</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No sales</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Gifts only</w:t>
            </w:r>
          </w:p>
        </w:tc>
        <w:tc>
          <w:tcPr>
            <w:tcW w:type="dxa" w:w="34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NONE. Form 4 footnotes reference 10b5-1 plans but not Swoosh roles</w:t>
            </w:r>
          </w:p>
        </w:tc>
      </w:tr>
      <w:tr>
        <w:tc>
          <w:tcPr>
            <w:tcW w:type="dxa" w:w="14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SC 13D (2015)</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Named as Ind. Director</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Named as Ind. Director</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Named as Ind. Director</w:t>
            </w:r>
          </w:p>
        </w:tc>
        <w:tc>
          <w:tcPr>
            <w:tcW w:type="dxa" w:w="3460"/>
            <w:tcBorders>
              <w:top w:val="single" w:color="AAAAAA" w:sz="1"/>
              <w:left w:val="single" w:color="AAAAAA" w:sz="1"/>
              <w:bottom w:val="single" w:color="AAAAAA" w:sz="1"/>
              <w:right w:val="single" w:color="AAAAAA" w:sz="1"/>
            </w:tcBorders>
            <w:shd w:fill="D1FAE5" w:val="clear"/>
            <w:tcMar>
              <w:top w:type="dxa" w:w="50"/>
              <w:left w:type="dxa" w:w="85"/>
              <w:bottom w:type="dxa" w:w="50"/>
              <w:right w:type="dxa" w:w="85"/>
            </w:tcMar>
          </w:tcPr>
          <w:p>
            <w:r>
              <w:rPr>
                <w:rFonts w:ascii="Arial" w:cs="Arial" w:eastAsia="Arial" w:hAnsi="Arial"/>
                <w:b w:val="false"/>
                <w:bCs w:val="false"/>
                <w:color w:val="1A1A1A"/>
                <w:sz w:val="15"/>
                <w:szCs w:val="15"/>
              </w:rPr>
              <w:t xml:space="preserve">FULL DISCLOSURE — but filing is 5 YEARS STALE. Last amended Jun 2016</w:t>
            </w:r>
          </w:p>
        </w:tc>
      </w:tr>
      <w:tr>
        <w:tc>
          <w:tcPr>
            <w:tcW w:type="dxa" w:w="14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CORRESP</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N/A</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N/A</w:t>
            </w:r>
          </w:p>
        </w:tc>
        <w:tc>
          <w:tcPr>
            <w:tcW w:type="dxa" w:w="15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N/A</w:t>
            </w:r>
          </w:p>
        </w:tc>
        <w:tc>
          <w:tcPr>
            <w:tcW w:type="dxa" w:w="34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NO SEC comment letter in 12 YEARS. Swoosh disclosure NEVER CHALLENGED</w:t>
            </w:r>
          </w:p>
        </w:tc>
      </w:tr>
    </w:tbl>
    <w:p>
      <w:r>
        <w:br w:type="page"/>
      </w:r>
    </w:p>
    <w:p>
      <w:pPr>
        <w:pStyle w:val="Heading1"/>
      </w:pPr>
      <w:r>
        <w:t xml:space="preserve">The Say-on-Pay Paradox: Responsive on Compensation, Silent on Governance</w:t>
      </w:r>
    </w:p>
    <w:p>
      <w:pPr>
        <w:spacing w:before="0" w:after="120"/>
      </w:pPr>
      <w:r>
        <w:rPr>
          <w:rFonts w:ascii="Arial" w:cs="Arial" w:eastAsia="Arial" w:hAnsi="Arial"/>
          <w:b w:val="false"/>
          <w:bCs w:val="false"/>
          <w:i w:val="false"/>
          <w:iCs w:val="false"/>
          <w:color w:val="1A1A1A"/>
          <w:sz w:val="21"/>
          <w:szCs w:val="21"/>
        </w:rPr>
        <w:t xml:space="preserve">Nike’s FY2021 proxy demonstrates that the company CAN respond aggressively to shareholder concerns — when the concern reaches critical mass. The Compensation Committee’s response to the 54% say-on-pay vote was genuinely substantive: engagement with shareholders owning 37% of Class B stock (Tim Cook personally participated for 15%), replacement of cash LTIP with performance stock units, increased CEO ownership guidelines from 6x to 8x salary, and commitment to reduce sign-on award usage. These reforms were effective — say-on-pay recovered in FY2021.</w:t>
      </w:r>
    </w:p>
    <w:p>
      <w:pPr>
        <w:spacing w:before="0" w:after="120"/>
      </w:pPr>
      <w:r>
        <w:rPr>
          <w:rFonts w:ascii="Arial" w:cs="Arial" w:eastAsia="Arial" w:hAnsi="Arial"/>
          <w:b w:val="false"/>
          <w:bCs w:val="false"/>
          <w:i w:val="false"/>
          <w:iCs w:val="false"/>
          <w:color w:val="1A1A1A"/>
          <w:sz w:val="21"/>
          <w:szCs w:val="21"/>
        </w:rPr>
        <w:t xml:space="preserve">But this responsive capacity exists ONLY for compensation governance, where proxy advisory firms and institutional investors create external pressure through say-on-pay voting. The Swoosh governance structure operates in a different universe: no shareholder proposal has ever addressed it, no proxy advisory firm has flagged it, and no SEC comment letter has questioned it. The dual-class structure ensures that shareholder proposals cannot pass even with majority Class B support — all four FY2021 proposals failed despite support ranging from 17.6% to 35.6%, because the Knight family’s Class A shares elect 75% of the board.</w:t>
      </w:r>
    </w:p>
    <w:p>
      <w:pPr>
        <w:spacing w:before="0" w:after="120"/>
      </w:pPr>
      <w:r>
        <w:rPr>
          <w:rFonts w:ascii="Arial" w:cs="Arial" w:eastAsia="Arial" w:hAnsi="Arial"/>
          <w:b w:val="false"/>
          <w:bCs w:val="false"/>
          <w:i w:val="false"/>
          <w:iCs w:val="false"/>
          <w:color w:val="1A1A1A"/>
          <w:sz w:val="21"/>
          <w:szCs w:val="21"/>
        </w:rPr>
        <w:t xml:space="preserve">The paradox: Nike’s governance is responsive exactly where external pressure exists, and strategically silent exactly where external pressure is structurally impossible. The Swoosh cross-directorship sits in the latter category.</w:t>
      </w:r>
    </w:p>
    <w:p>
      <w:pPr>
        <w:pStyle w:val="Heading1"/>
      </w:pPr>
      <w:r>
        <w:t xml:space="preserve">Cumulative Context: Parker’s $340M+ in Dispositions (FY2019–FY2021)</w:t>
      </w:r>
    </w:p>
    <w:p>
      <w:pPr>
        <w:spacing w:before="0" w:after="120"/>
      </w:pPr>
      <w:r>
        <w:rPr>
          <w:rFonts w:ascii="Arial" w:cs="Arial" w:eastAsia="Arial" w:hAnsi="Arial"/>
          <w:b w:val="false"/>
          <w:bCs w:val="false"/>
          <w:i w:val="false"/>
          <w:iCs w:val="false"/>
          <w:color w:val="1A1A1A"/>
          <w:sz w:val="21"/>
          <w:szCs w:val="21"/>
        </w:rPr>
        <w:t xml:space="preserve">Mark Parker’s stock dispositions across three fiscal years now exceed $340 million: approximately $78M (FY2019), $37.3M (FY2020 proxy table), and $125M (FY2021). Throughout this entire period, he simultaneously served as a Swoosh LLC Independent Director with governance authority over the entity controlling Nike’s shareholder vote. Not a single periodic filing — not the 10-Ks, not the 10-Qs, not the 8-Ks, not the proxies — disclosed this dual role or connected it to his trading activity.</w:t>
      </w:r>
    </w:p>
    <w:p>
      <w:pPr>
        <w:spacing w:before="0" w:after="120"/>
      </w:pPr>
      <w:r>
        <w:rPr>
          <w:rFonts w:ascii="Arial" w:cs="Arial" w:eastAsia="Arial" w:hAnsi="Arial"/>
          <w:b w:val="false"/>
          <w:bCs w:val="false"/>
          <w:i w:val="false"/>
          <w:iCs w:val="false"/>
          <w:color w:val="1A1A1A"/>
          <w:sz w:val="21"/>
          <w:szCs w:val="21"/>
        </w:rPr>
        <w:t xml:space="preserve">Parker’s post-2023 Form 4 filings confirm routine use of 10b5-1 plans with adoption dates (November annually), providing retrospective evidence that his FY2019–FY2021 trading was likely plan-based. But during those three years, investors relied entirely on cryptic Form 4 footnotes (“Scheduled” designations) to infer trading plan existence. The complete absence of voluntary 10b5-1 disclosure in periodic filings — while selling $340M+ in stock as Executive Chairman of the company whose controlling shareholder he co-governs — represents the most consequential intersection of the Swoosh conflict and the 10b5-1 opacity.</w:t>
      </w:r>
    </w:p>
    <w:p>
      <w:pPr>
        <w:pStyle w:val="Heading1"/>
      </w:pPr>
      <w:r>
        <w:t xml:space="preserve">Graf’s FY2021 Audit Oversight: The Structural Conflict Deepens</w:t>
      </w:r>
    </w:p>
    <w:p>
      <w:pPr>
        <w:spacing w:before="0" w:after="120"/>
      </w:pPr>
      <w:r>
        <w:rPr>
          <w:rFonts w:ascii="Arial" w:cs="Arial" w:eastAsia="Arial" w:hAnsi="Arial"/>
          <w:b w:val="false"/>
          <w:bCs w:val="false"/>
          <w:i w:val="false"/>
          <w:iCs w:val="false"/>
          <w:color w:val="1A1A1A"/>
          <w:sz w:val="21"/>
          <w:szCs w:val="21"/>
        </w:rPr>
        <w:t xml:space="preserve">FY2021 was an extraordinary year for Nike’s financial reporting. Revenue recovered 19% to $44.5B. The Consumer Direct Acceleration restructuring generated $315M in pre-tax charges requiring significant judgment calls on impairment, asset valuation, and charge timing. The $6B debt (issued FY2020) required ongoing covenant compliance monitoring. The $2B→$1B credit facility downsizing required assessment of liquidity adequacy. Throughout all of these deliberations, Graf served as Audit Committee Chair while simultaneously sitting on the Swoosh board alongside Parker and Donahoe — the executives whose financial stewardship he evaluates.</w:t>
      </w:r>
    </w:p>
    <w:p>
      <w:pPr>
        <w:spacing w:before="0" w:after="120"/>
      </w:pPr>
      <w:r>
        <w:rPr>
          <w:rFonts w:ascii="Arial" w:cs="Arial" w:eastAsia="Arial" w:hAnsi="Arial"/>
          <w:b w:val="false"/>
          <w:bCs w:val="false"/>
          <w:i w:val="false"/>
          <w:iCs w:val="false"/>
          <w:color w:val="1A1A1A"/>
          <w:sz w:val="21"/>
          <w:szCs w:val="21"/>
        </w:rPr>
        <w:t xml:space="preserve">Nike’s independence analysis evaluates Graf against NYSE quantitative thresholds (commercial relationships below 1% of revenue). The Swoosh governance relationship is qualitative, not quantitative, and falls outside the NYSE framework’s standard categories. ISS’s independence methodology similarly focuses on proxy-disclosed relationships, missing the 13D-only Swoosh directorship entirely.</w:t>
      </w:r>
    </w:p>
    <w:p>
      <w:r>
        <w:br w:type="page"/>
      </w:r>
    </w:p>
    <w:p>
      <w:pPr>
        <w:pStyle w:val="Heading1"/>
      </w:pPr>
      <w:r>
        <w:t xml:space="preserve">Recommendations — Informed by Two-Year Full-Corpus Audit</w:t>
      </w:r>
    </w:p>
    <w:p>
      <w:pPr>
        <w:pStyle w:val="Heading2"/>
      </w:pPr>
      <w:r>
        <w:t xml:space="preserve">Tier 1: Immediate Director Profile Updates</w:t>
      </w:r>
    </w:p>
    <w:p>
      <w:pPr>
        <w:spacing w:before="0" w:after="120"/>
      </w:pPr>
      <w:r>
        <w:rPr>
          <w:rFonts w:ascii="Arial" w:cs="Arial" w:eastAsia="Arial" w:hAnsi="Arial"/>
          <w:b w:val="false"/>
          <w:bCs w:val="false"/>
          <w:i w:val="false"/>
          <w:iCs w:val="false"/>
          <w:color w:val="1A1A1A"/>
          <w:sz w:val="21"/>
          <w:szCs w:val="21"/>
        </w:rPr>
        <w:t xml:space="preserve">Update Parker, Donahoe, and Graf ISS profiles to reflect Swoosh LLC directorships with annotation that the information source is a 2015 SC 13D filing last amended in 2016 — not the proxy. Note the five-year 13D staleness and triple-insider configuration since January 2020.</w:t>
      </w:r>
    </w:p>
    <w:p>
      <w:pPr>
        <w:pStyle w:val="Heading2"/>
      </w:pPr>
      <w:r>
        <w:t xml:space="preserve">Tier 2: QualityScore Board Structure Downgrade Consideration</w:t>
      </w:r>
    </w:p>
    <w:p>
      <w:pPr>
        <w:spacing w:before="0" w:after="120"/>
      </w:pPr>
      <w:r>
        <w:rPr>
          <w:rFonts w:ascii="Arial" w:cs="Arial" w:eastAsia="Arial" w:hAnsi="Arial"/>
          <w:b w:val="false"/>
          <w:bCs w:val="false"/>
          <w:i w:val="false"/>
          <w:iCs w:val="false"/>
          <w:color w:val="1A1A1A"/>
          <w:sz w:val="21"/>
          <w:szCs w:val="21"/>
        </w:rPr>
        <w:t xml:space="preserve">The full-corpus audit identifies five governance dimensions invisible to QualityScore: (a) Swoosh cross-directorships; (b) 5-year 13D staleness; (c) 10-K risk factor exclusion of dual-class governance; (d) 12-year SEC correspondence vacuum; (e) insider trading policy invisibility (now remediated post-2023). Consider whether these collectively warrant a Board Structure pillar downgrade.</w:t>
      </w:r>
    </w:p>
    <w:p>
      <w:pPr>
        <w:pStyle w:val="Heading2"/>
      </w:pPr>
      <w:r>
        <w:t xml:space="preserve">Tier 3: Engagement with Nike Corporate Secretary</w:t>
      </w:r>
    </w:p>
    <w:p>
      <w:pPr>
        <w:spacing w:before="0" w:after="120"/>
      </w:pPr>
      <w:r>
        <w:rPr>
          <w:rFonts w:ascii="Arial" w:cs="Arial" w:eastAsia="Arial" w:hAnsi="Arial"/>
          <w:b w:val="false"/>
          <w:bCs w:val="false"/>
          <w:i w:val="false"/>
          <w:iCs w:val="false"/>
          <w:color w:val="1A1A1A"/>
          <w:sz w:val="21"/>
          <w:szCs w:val="21"/>
        </w:rPr>
        <w:t xml:space="preserve">Request: (a) confirmation of current Swoosh LLC board composition; (b) whether any 13D amendment is planned; (c) whether the Audit Committee has evaluated the Graf cross-directorship conflict; (d) Protector (Wolfson/Chapa) status; (e) rationale for excluding dual-class governance from 10-K risk factors; (f) timeline for the 2050 sunset conversion.</w:t>
      </w:r>
    </w:p>
    <w:p>
      <w:pPr>
        <w:pStyle w:val="Heading2"/>
      </w:pPr>
      <w:r>
        <w:t xml:space="preserve">Tier 4: Systemic Methodology Enhancement</w:t>
      </w:r>
    </w:p>
    <w:p>
      <w:pPr>
        <w:spacing w:before="0" w:after="120"/>
      </w:pPr>
      <w:r>
        <w:rPr>
          <w:rFonts w:ascii="Arial" w:cs="Arial" w:eastAsia="Arial" w:hAnsi="Arial"/>
          <w:b w:val="false"/>
          <w:bCs w:val="false"/>
          <w:i w:val="false"/>
          <w:iCs w:val="false"/>
          <w:color w:val="1A1A1A"/>
          <w:sz w:val="21"/>
          <w:szCs w:val="21"/>
        </w:rPr>
        <w:t xml:space="preserve">Develop a dual-class company cross-reference protocol: for all S&amp;P 500 companies with controlling entities, systematically check SC 13D/G filings against proxy director biographies. Nike demonstrates that the information silo between filing types is the root cause of governance invisibility. The cost is one additional EDGAR query per company per year; the governance information yield is potentially transformative for companies where controlling-entity overlap has gone undetected.</w:t>
      </w:r>
    </w:p>
    <w:p>
      <w:r>
        <w:br w:type="page"/>
      </w:r>
    </w:p>
    <w:p>
      <w:pPr>
        <w:pStyle w:val="Heading1"/>
      </w:pPr>
      <w:r>
        <w:t xml:space="preserve">Appendix: FY2021 Complete Filing-Type Swoosh Content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200"/>
        <w:gridCol w:w="4260"/>
      </w:tblGrid>
      <w:tr>
        <w:tc>
          <w:tcPr>
            <w:tcW w:type="dxa" w:w="1200"/>
            <w:tcBorders>
              <w:top w:val="single" w:color="AAAAAA" w:sz="1"/>
              <w:left w:val="single" w:color="AAAAAA" w:sz="1"/>
              <w:bottom w:val="single" w:color="AAAAAA" w:sz="1"/>
              <w:right w:val="single" w:color="AAAAAA" w:sz="1"/>
            </w:tcBorders>
            <w:shd w:fill="0B2545" w:val="clear"/>
            <w:tcMar>
              <w:top w:type="dxa" w:w="50"/>
              <w:left w:type="dxa" w:w="85"/>
              <w:bottom w:type="dxa" w:w="50"/>
              <w:right w:type="dxa" w:w="85"/>
            </w:tcMar>
          </w:tcPr>
          <w:p>
            <w:r>
              <w:rPr>
                <w:rFonts w:ascii="Arial" w:cs="Arial" w:eastAsia="Arial" w:hAnsi="Arial"/>
                <w:b/>
                <w:bCs/>
                <w:color w:val="FFFFFF"/>
                <w:sz w:val="15"/>
                <w:szCs w:val="15"/>
              </w:rPr>
              <w:t xml:space="preserve">FILING TYPE</w:t>
            </w:r>
          </w:p>
        </w:tc>
        <w:tc>
          <w:tcPr>
            <w:tcW w:type="dxa" w:w="1700"/>
            <w:tcBorders>
              <w:top w:val="single" w:color="AAAAAA" w:sz="1"/>
              <w:left w:val="single" w:color="AAAAAA" w:sz="1"/>
              <w:bottom w:val="single" w:color="AAAAAA" w:sz="1"/>
              <w:right w:val="single" w:color="AAAAAA" w:sz="1"/>
            </w:tcBorders>
            <w:shd w:fill="0B2545" w:val="clear"/>
            <w:tcMar>
              <w:top w:type="dxa" w:w="50"/>
              <w:left w:type="dxa" w:w="85"/>
              <w:bottom w:type="dxa" w:w="50"/>
              <w:right w:type="dxa" w:w="85"/>
            </w:tcMar>
          </w:tcPr>
          <w:p>
            <w:r>
              <w:rPr>
                <w:rFonts w:ascii="Arial" w:cs="Arial" w:eastAsia="Arial" w:hAnsi="Arial"/>
                <w:b/>
                <w:bCs/>
                <w:color w:val="FFFFFF"/>
                <w:sz w:val="15"/>
                <w:szCs w:val="15"/>
              </w:rPr>
              <w:t xml:space="preserve">ACCESSION</w:t>
            </w:r>
          </w:p>
        </w:tc>
        <w:tc>
          <w:tcPr>
            <w:tcW w:type="dxa" w:w="2200"/>
            <w:tcBorders>
              <w:top w:val="single" w:color="AAAAAA" w:sz="1"/>
              <w:left w:val="single" w:color="AAAAAA" w:sz="1"/>
              <w:bottom w:val="single" w:color="AAAAAA" w:sz="1"/>
              <w:right w:val="single" w:color="AAAAAA" w:sz="1"/>
            </w:tcBorders>
            <w:shd w:fill="0B2545" w:val="clear"/>
            <w:tcMar>
              <w:top w:type="dxa" w:w="50"/>
              <w:left w:type="dxa" w:w="85"/>
              <w:bottom w:type="dxa" w:w="50"/>
              <w:right w:type="dxa" w:w="85"/>
            </w:tcMar>
          </w:tcPr>
          <w:p>
            <w:r>
              <w:rPr>
                <w:rFonts w:ascii="Arial" w:cs="Arial" w:eastAsia="Arial" w:hAnsi="Arial"/>
                <w:b/>
                <w:bCs/>
                <w:color w:val="FFFFFF"/>
                <w:sz w:val="15"/>
                <w:szCs w:val="15"/>
              </w:rPr>
              <w:t xml:space="preserve">SWOOSH CONTENT</w:t>
            </w:r>
          </w:p>
        </w:tc>
        <w:tc>
          <w:tcPr>
            <w:tcW w:type="dxa" w:w="4260"/>
            <w:tcBorders>
              <w:top w:val="single" w:color="AAAAAA" w:sz="1"/>
              <w:left w:val="single" w:color="AAAAAA" w:sz="1"/>
              <w:bottom w:val="single" w:color="AAAAAA" w:sz="1"/>
              <w:right w:val="single" w:color="AAAAAA" w:sz="1"/>
            </w:tcBorders>
            <w:shd w:fill="0B2545" w:val="clear"/>
            <w:tcMar>
              <w:top w:type="dxa" w:w="50"/>
              <w:left w:type="dxa" w:w="85"/>
              <w:bottom w:type="dxa" w:w="50"/>
              <w:right w:type="dxa" w:w="85"/>
            </w:tcMar>
          </w:tcPr>
          <w:p>
            <w:r>
              <w:rPr>
                <w:rFonts w:ascii="Arial" w:cs="Arial" w:eastAsia="Arial" w:hAnsi="Arial"/>
                <w:b/>
                <w:bCs/>
                <w:color w:val="FFFFFF"/>
                <w:sz w:val="15"/>
                <w:szCs w:val="15"/>
              </w:rPr>
              <w:t xml:space="preserve">FORENSIC SIGNIFICANCE</w:t>
            </w:r>
          </w:p>
        </w:tc>
      </w:tr>
      <w:tr>
        <w:tc>
          <w:tcPr>
            <w:tcW w:type="dxa" w:w="1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10-K</w:t>
            </w:r>
          </w:p>
        </w:tc>
        <w:tc>
          <w:tcPr>
            <w:tcW w:type="dxa" w:w="17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0000320187-21-000028</w:t>
            </w:r>
          </w:p>
        </w:tc>
        <w:tc>
          <w:tcPr>
            <w:tcW w:type="dxa" w:w="2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ZERO</w:t>
            </w:r>
          </w:p>
        </w:tc>
        <w:tc>
          <w:tcPr>
            <w:tcW w:type="dxa" w:w="42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~18–20 risk factors; none on dual-class. No Exhibit 19. Ex 21 excludes Swoosh. Part III deferred to proxy</w:t>
            </w:r>
          </w:p>
        </w:tc>
      </w:tr>
      <w:tr>
        <w:tc>
          <w:tcPr>
            <w:tcW w:type="dxa" w:w="1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10-Q Q1</w:t>
            </w:r>
          </w:p>
        </w:tc>
        <w:tc>
          <w:tcPr>
            <w:tcW w:type="dxa" w:w="17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0000320187-20-000061</w:t>
            </w:r>
          </w:p>
        </w:tc>
        <w:tc>
          <w:tcPr>
            <w:tcW w:type="dxa" w:w="2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ZERO</w:t>
            </w:r>
          </w:p>
        </w:tc>
        <w:tc>
          <w:tcPr>
            <w:tcW w:type="dxa" w:w="42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$315M restructuring charges. No governance disclosures</w:t>
            </w:r>
          </w:p>
        </w:tc>
      </w:tr>
      <w:tr>
        <w:tc>
          <w:tcPr>
            <w:tcW w:type="dxa" w:w="1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10-Q Q2</w:t>
            </w:r>
          </w:p>
        </w:tc>
        <w:tc>
          <w:tcPr>
            <w:tcW w:type="dxa" w:w="17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0000320187-21-000003</w:t>
            </w:r>
          </w:p>
        </w:tc>
        <w:tc>
          <w:tcPr>
            <w:tcW w:type="dxa" w:w="2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ZERO</w:t>
            </w:r>
          </w:p>
        </w:tc>
        <w:tc>
          <w:tcPr>
            <w:tcW w:type="dxa" w:w="42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$11.2B revenue. No Swoosh/dual-class references</w:t>
            </w:r>
          </w:p>
        </w:tc>
      </w:tr>
      <w:tr>
        <w:tc>
          <w:tcPr>
            <w:tcW w:type="dxa" w:w="1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10-Q Q3</w:t>
            </w:r>
          </w:p>
        </w:tc>
        <w:tc>
          <w:tcPr>
            <w:tcW w:type="dxa" w:w="17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0000320187-21-000012</w:t>
            </w:r>
          </w:p>
        </w:tc>
        <w:tc>
          <w:tcPr>
            <w:tcW w:type="dxa" w:w="2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ZERO</w:t>
            </w:r>
          </w:p>
        </w:tc>
        <w:tc>
          <w:tcPr>
            <w:tcW w:type="dxa" w:w="42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$1B credit facility. No governance references</w:t>
            </w:r>
          </w:p>
        </w:tc>
      </w:tr>
      <w:tr>
        <w:tc>
          <w:tcPr>
            <w:tcW w:type="dxa" w:w="1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8-K (x7)</w:t>
            </w:r>
          </w:p>
        </w:tc>
        <w:tc>
          <w:tcPr>
            <w:tcW w:type="dxa" w:w="17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Multiple accessions</w:t>
            </w:r>
          </w:p>
        </w:tc>
        <w:tc>
          <w:tcPr>
            <w:tcW w:type="dxa" w:w="2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ZERO</w:t>
            </w:r>
          </w:p>
        </w:tc>
        <w:tc>
          <w:tcPr>
            <w:tcW w:type="dxa" w:w="42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Earnings + bylaws + credit facility. No Swoosh governance references in any filing</w:t>
            </w:r>
          </w:p>
        </w:tc>
      </w:tr>
      <w:tr>
        <w:tc>
          <w:tcPr>
            <w:tcW w:type="dxa" w:w="1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DEF 14A</w:t>
            </w:r>
          </w:p>
        </w:tc>
        <w:tc>
          <w:tcPr>
            <w:tcW w:type="dxa" w:w="17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0000320187-21-000035</w:t>
            </w:r>
          </w:p>
        </w:tc>
        <w:tc>
          <w:tcPr>
            <w:tcW w:type="dxa" w:w="2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92400E"/>
                <w:sz w:val="15"/>
                <w:szCs w:val="15"/>
              </w:rPr>
              <w:t xml:space="preserve">MINIMAL</w:t>
            </w:r>
          </w:p>
        </w:tc>
        <w:tc>
          <w:tcPr>
            <w:tcW w:type="dxa" w:w="42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Knight bio only. Parker/Donahoe/Graf bios omit Swoosh. §16(a) restored. No 10b5-1 disclosure</w:t>
            </w:r>
          </w:p>
        </w:tc>
      </w:tr>
      <w:tr>
        <w:tc>
          <w:tcPr>
            <w:tcW w:type="dxa" w:w="1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Form 4 (9x)</w:t>
            </w:r>
          </w:p>
        </w:tc>
        <w:tc>
          <w:tcPr>
            <w:tcW w:type="dxa" w:w="17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Parker + directors</w:t>
            </w:r>
          </w:p>
        </w:tc>
        <w:tc>
          <w:tcPr>
            <w:tcW w:type="dxa" w:w="2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ZERO</w:t>
            </w:r>
          </w:p>
        </w:tc>
        <w:tc>
          <w:tcPr>
            <w:tcW w:type="dxa" w:w="42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$125M Parker sales. 10b5-1 confirmed via footnotes only. No Swoosh governance references</w:t>
            </w:r>
          </w:p>
        </w:tc>
      </w:tr>
      <w:tr>
        <w:tc>
          <w:tcPr>
            <w:tcW w:type="dxa" w:w="1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SC 13D</w:t>
            </w:r>
          </w:p>
        </w:tc>
        <w:tc>
          <w:tcPr>
            <w:tcW w:type="dxa" w:w="17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0000897423-15-000038</w:t>
            </w:r>
          </w:p>
        </w:tc>
        <w:tc>
          <w:tcPr>
            <w:tcW w:type="dxa" w:w="2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065F46"/>
                <w:sz w:val="15"/>
                <w:szCs w:val="15"/>
              </w:rPr>
              <w:t xml:space="preserve">FULL</w:t>
            </w:r>
          </w:p>
        </w:tc>
        <w:tc>
          <w:tcPr>
            <w:tcW w:type="dxa" w:w="42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5 YEARS STALE. Names all 3 Independent Directors. Conflict provision. Protector mechanism. 2050 sunset</w:t>
            </w:r>
          </w:p>
        </w:tc>
      </w:tr>
      <w:tr>
        <w:tc>
          <w:tcPr>
            <w:tcW w:type="dxa" w:w="1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CORRESP</w:t>
            </w:r>
          </w:p>
        </w:tc>
        <w:tc>
          <w:tcPr>
            <w:tcW w:type="dxa" w:w="17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Last: ~2009</w:t>
            </w:r>
          </w:p>
        </w:tc>
        <w:tc>
          <w:tcPr>
            <w:tcW w:type="dxa" w:w="2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ZERO</w:t>
            </w:r>
          </w:p>
        </w:tc>
        <w:tc>
          <w:tcPr>
            <w:tcW w:type="dxa" w:w="42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12-year gap. No SEC comment letter has EVER addressed Swoosh governance</w:t>
            </w:r>
          </w:p>
        </w:tc>
      </w:tr>
      <w:tr>
        <w:tc>
          <w:tcPr>
            <w:tcW w:type="dxa" w:w="1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13G (Vanguard)</w:t>
            </w:r>
          </w:p>
        </w:tc>
        <w:tc>
          <w:tcPr>
            <w:tcW w:type="dxa" w:w="17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Annual 13G/A</w:t>
            </w:r>
          </w:p>
        </w:tc>
        <w:tc>
          <w:tcPr>
            <w:tcW w:type="dxa" w:w="2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92400E"/>
                <w:sz w:val="15"/>
                <w:szCs w:val="15"/>
              </w:rPr>
              <w:t xml:space="preserve">N/A</w:t>
            </w:r>
          </w:p>
        </w:tc>
        <w:tc>
          <w:tcPr>
            <w:tcW w:type="dxa" w:w="42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~8–9% Class B. No Swoosh governance visibility for institutional holders</w:t>
            </w:r>
          </w:p>
        </w:tc>
      </w:tr>
      <w:tr>
        <w:tc>
          <w:tcPr>
            <w:tcW w:type="dxa" w:w="1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1A1A1A"/>
                <w:sz w:val="15"/>
                <w:szCs w:val="15"/>
              </w:rPr>
              <w:t xml:space="preserve">S-8</w:t>
            </w:r>
          </w:p>
        </w:tc>
        <w:tc>
          <w:tcPr>
            <w:tcW w:type="dxa" w:w="17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~Jul 2021</w:t>
            </w:r>
          </w:p>
        </w:tc>
        <w:tc>
          <w:tcPr>
            <w:tcW w:type="dxa" w:w="220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bCs/>
                <w:color w:val="B91C1C"/>
                <w:sz w:val="15"/>
                <w:szCs w:val="15"/>
              </w:rPr>
              <w:t xml:space="preserve">ZERO</w:t>
            </w:r>
          </w:p>
        </w:tc>
        <w:tc>
          <w:tcPr>
            <w:tcW w:type="dxa" w:w="4260"/>
            <w:tcBorders>
              <w:top w:val="single" w:color="AAAAAA" w:sz="1"/>
              <w:left w:val="single" w:color="AAAAAA" w:sz="1"/>
              <w:bottom w:val="single" w:color="AAAAAA" w:sz="1"/>
              <w:right w:val="single" w:color="AAAAAA" w:sz="1"/>
            </w:tcBorders>
            <w:tcMar>
              <w:top w:type="dxa" w:w="50"/>
              <w:left w:type="dxa" w:w="85"/>
              <w:bottom w:type="dxa" w:w="50"/>
              <w:right w:type="dxa" w:w="85"/>
            </w:tcMar>
          </w:tcPr>
          <w:p>
            <w:r>
              <w:rPr>
                <w:rFonts w:ascii="Arial" w:cs="Arial" w:eastAsia="Arial" w:hAnsi="Arial"/>
                <w:b w:val="false"/>
                <w:bCs w:val="false"/>
                <w:color w:val="1A1A1A"/>
                <w:sz w:val="15"/>
                <w:szCs w:val="15"/>
              </w:rPr>
              <w:t xml:space="preserve">Stock plan registration. No governance content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3"/>
        <w:szCs w:val="13"/>
      </w:rPr>
      <w:t xml:space="preserve">Nike Inc. (NKE) — Swoosh LLC Full-Corpus Analysis FY2021</w:t>
    </w:r>
    <w:r>
      <w:rPr>
        <w:rFonts w:ascii="Arial" w:cs="Arial" w:eastAsia="Arial" w:hAnsi="Arial"/>
        <w:color w:val="999999"/>
        <w:sz w:val="13"/>
        <w:szCs w:val="13"/>
      </w:rPr>
      <w:ptab w:alignment="right" w:relativeTo="margin" w:leader="none"/>
    </w:r>
    <w:r>
      <w:rPr>
        <w:rFonts w:ascii="Arial" w:cs="Arial" w:eastAsia="Arial" w:hAnsi="Arial"/>
        <w:color w:val="999999"/>
        <w:sz w:val="13"/>
        <w:szCs w:val="13"/>
      </w:rPr>
      <w:t xml:space="preserve">Page </w:t>
    </w:r>
    <w:r>
      <w:rPr>
        <w:rFonts w:ascii="Arial" w:cs="Arial" w:eastAsia="Arial" w:hAnsi="Arial"/>
        <w:color w:val="99999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4" w:space="4"/>
      </w:pBdr>
    </w:pPr>
    <w:r>
      <w:rPr>
        <w:rFonts w:ascii="Arial" w:cs="Arial" w:eastAsia="Arial" w:hAnsi="Arial"/>
        <w:b/>
        <w:bCs/>
        <w:color w:val="0B2545"/>
        <w:sz w:val="14"/>
        <w:szCs w:val="14"/>
      </w:rPr>
      <w:t xml:space="preserve">ISS GOVERNANCE ALERT  |  FULL-CORPUS EDGAR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0B2545"/>
      <w:sz w:val="28"/>
      <w:szCs w:val="28"/>
    </w:rPr>
  </w:style>
  <w:style w:type="paragraph" w:styleId="Heading2">
    <w:name w:val="Heading 2"/>
    <w:basedOn w:val="Normal"/>
    <w:next w:val="Normal"/>
    <w:qFormat/>
    <w:pPr>
      <w:spacing w:before="260" w:after="140"/>
      <w:outlineLvl w:val="1"/>
    </w:pPr>
    <w:rPr>
      <w:rFonts w:ascii="Arial" w:cs="Arial" w:eastAsia="Arial" w:hAnsi="Arial"/>
      <w:b/>
      <w:bCs/>
      <w:color w:val="0B25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2026-03-10T04:49:54.961Z</dcterms:created>
  <dcterms:modified xsi:type="dcterms:W3CDTF">2026-03-10T04:49:54.962Z</dcterms:modified>
</cp:coreProperties>
</file>

<file path=docProps/custom.xml><?xml version="1.0" encoding="utf-8"?>
<Properties xmlns="http://schemas.openxmlformats.org/officeDocument/2006/custom-properties" xmlns:vt="http://schemas.openxmlformats.org/officeDocument/2006/docPropsVTypes"/>
</file>