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 xml:space="preserve">FULL-CORPUS EVIDENCE BUNDLE</w:t>
      </w:r>
    </w:p>
    <w:p>
      <w:pPr>
        <w:spacing w:after="25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SEC DIVISION OF ENFORCEMENT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12-Category EDGAR Filing Audit — Fiscal Year 2021</w:t>
      </w:r>
    </w:p>
    <w:p>
      <w:pPr>
        <w:pBdr>
          <w:top w:val="single" w:color="0F1B2D" w:sz="4" w:space="8"/>
          <w:bottom w:val="single" w:color="0F1B2D" w:sz="4" w:space="8"/>
        </w:pBdr>
        <w:spacing w:before="140" w:after="140"/>
        <w:jc w:val="center"/>
      </w:pPr>
      <w:r>
        <w:rPr>
          <w:rFonts w:ascii="Arial" w:cs="Arial" w:eastAsia="Arial" w:hAnsi="Arial"/>
          <w:b/>
          <w:bCs/>
          <w:color w:val="0F1B2D"/>
          <w:sz w:val="34"/>
          <w:szCs w:val="34"/>
        </w:rPr>
        <w:t xml:space="preserve">NIKE, INC. (NKE)</w:t>
      </w:r>
    </w:p>
    <w:p>
      <w:pPr>
        <w:spacing w:after="25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CIK: 0000320187 | Fiscal Year: June 1, 2020 – May 31, 2021 | Prepared: March 9,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91C1C"/>
          <w:sz w:val="16"/>
          <w:szCs w:val="16"/>
        </w:rPr>
        <w:t xml:space="preserve">CLASSIFICATION: PRIVILEGED &amp; CONFIDENTIAL</w:t>
      </w:r>
    </w:p>
    <w:p>
      <w:r>
        <w:br w:type="page"/>
      </w:r>
    </w:p>
    <w:p>
      <w:pPr>
        <w:pStyle w:val="Heading1"/>
      </w:pPr>
      <w:r>
        <w:t xml:space="preserve">I. Executive Summary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evidence bundle presents findings from a ground-up audit of Nike’s complete FY2021 EDGAR filing corpus across 12 filing categories. It identifies five categories of findings, three of which are NEW discoveries invisible to Form 4/proxy-only analysis: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FINDING A (NEW) — Section 16(a) Delinquency Appears and Vanishes: The FY2021 proxy RESTORED the “Delinquent Section 16(A) Reports” section on page 70 — absent since FY2018. Under the post-FAST Act framework, this signals actual filing delinquencies. The FY2022 proxy DROPS the section again, creating a one-year-only appearance that suggests an isolated compliance break followed by unreported resolution.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FINDING B (NEW) — 10-K Risk Factor Architecture Excludes Governance: For the second consecutive year, the 10-K contains ~18–20 risk factor categories with ZERO addressing dual-class governance, controlling shareholder influence, insider trading policy, or Section 16 compliance. The earlier removal of the anti-takeover risk factor referencing Knight’s controlling Class A ownership was never reversed.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FINDING C (NEW) — 12-Year SEC Correspondence Vacuum: No SEC staff comment letter in 12 years (since ~2009). This is 4x the SOX §408 triennial review requirement. Every governance disclosure deficiency identified in this audit has operated without SEC staff challenge for over a decade.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FINDING D (PERSISTENT) — Third Year of 10b5-1 Opacity: Zero 10b5-1 references in the 10-K, 10-Qs, or proxy CD&amp;A. Parker sold ~$125M in stock during FY2021 under 10b5-1 plans confirmed only by Form 4 footnotes. The 10b5-1 disclosure gap persisted until the SEC’s April 2023 mandatory rules.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FINDING E (PERSISTENT) — Swoosh 13D Five Years Stale: The triple-insider board (Parker + Donahoe + Graf) completed its first full fiscal year without a 13D amendment, proxy disclosure, or any public acknowledgment.</w:t>
      </w:r>
    </w:p>
    <w:p>
      <w:r>
        <w:br w:type="page"/>
      </w:r>
    </w:p>
    <w:p>
      <w:pPr>
        <w:pStyle w:val="Heading1"/>
      </w:pPr>
      <w:r>
        <w:t xml:space="preserve">II. Evidence Index — Complete EDGAR Filing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900"/>
        <w:gridCol w:w="1000"/>
        <w:gridCol w:w="1100"/>
        <w:gridCol w:w="4120"/>
        <w:gridCol w:w="1820"/>
      </w:tblGrid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E#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ACCESSION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/ FORENSIC RELEVANCE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FINDING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10-K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7/20/2021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0000320187-21-000028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FY2021 annual report. Part III inc. by ref. ~18–20 risk factors — ZERO on dual-class/ITP. No Exhibit 19. ZERO “10b5-1” instances in body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B,D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10-Q Q1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10/8/2020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0000320187-20-000061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Q1 10-Q. $10.6B revenue. Consumer Direct Acceleration restructuring ($315M). Zero ITP references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Baseline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10-Q Q2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1/5/2021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0000320187-21-000003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Q2 10-Q. $11.2B revenue. Digital +84%. Zero ITP references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Baseline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10-Q Q3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~4/1/2021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0000320187-21-000012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Q3 10-Q. $10.4B revenue. $1B credit facility confirmed. Zero ITP references. All 3 10-Qs: ZERO governance disclosures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Baseline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DEF 14A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~8/9/2021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0000320187-21-000035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FY2021 proxy. §16(a) RESTORED (p.70) — signals delinquencies. Zero 10b5-1 (3rd year). Swoosh undisclosed. Say-on-pay recovery. 37% Class B engagement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A,D,E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8-K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6/17/2020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0000320187-20-000029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Bylaw amendment enabling virtual meetings (Item 5.03). Only governance 8-K in period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Context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8-K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9/22/2020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Earnings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Q1 FY2021 earnings. Revenue $10.6B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Context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8-K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12/18/2020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Earnings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Q2 FY2021 earnings. Revenue $11.2B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Context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8-K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3/18/2021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0000320187-21-000009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Q3 FY2021 earnings + $1B credit facility (Items 1.01/1.02/2.02/2.03)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Context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8-K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6/24/2021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Earnings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Q4/FY2021 earnings. Revenue $44.5B (+19%). Net income $5.7B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Context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Form 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Multiple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Parker: 9 sales, ~965K shares, ~$125M. All 10b5-1. All filed within 2 biz days. Post-transaction balance ~1.53M shares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SC 13D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6/30/2015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0000897423-15-000038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Swoosh LLC. Last amended June 2016. NOW 5 YEARS STALE. Names Parker/Donahoe/Graf as Independent Directors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E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CORRESP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Last known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12-YEAR GAP in SEC correspondence. 4x SOX §408 triennial maximum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DEF 14A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0000320187-22-000041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§16(a) DROPPED AGAIN — no delinquencies in FY2022. Confirms FY2021 was isolated compliance break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A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Exhibit 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FY2024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0000320187-24-000044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Nike ITP first filed. Confirms policy existed throughout FY2021 but was invisible in EDGAR corpus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E-16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8-K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10/6/2021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Meeting results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FY2021 annual meeting. Say-on-pay recovered. 4 shareholder proposals all failed (30.5%, 27.7%, 17.6%, 35.6%)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15"/>
                <w:szCs w:val="15"/>
              </w:rPr>
              <w:t xml:space="preserve">Context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III. Cross-Referencing Results — 7 Systematic Checks</w:t>
      </w:r>
    </w:p>
    <w:p>
      <w:pPr>
        <w:pStyle w:val="Heading2"/>
      </w:pPr>
      <w:r>
        <w:t xml:space="preserve">A) Compensation Cross-Check: PASSED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Proxy SCT (Donahoe $32.9M, Parker $27.5M, Friend $12.0M, Campion $16.5M, O’Neill $12.5M) consistent with 8-K earnings disclosures and CD&amp;A. All NEOs received 120% annual bonus and 90% LTIP. Parker’s Form 4 sales (~$125M) consistent with stock-based compensation structure.</w:t>
      </w:r>
    </w:p>
    <w:p>
      <w:pPr>
        <w:pStyle w:val="Heading2"/>
      </w:pPr>
      <w:r>
        <w:t xml:space="preserve">B) Beneficial Ownership Cross-Check: PASSED with staleness notation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10-K cover (Class A 305,011,252; Class B 1,276,789,972 as of Jul 9, 2021) consistent with proxy record date (305,011,252 / 1,278,086,797 as of Aug 6, 2021). The ~1.3M Class B difference reflects normal 28-day issuance activity. Swoosh 13D reports 257M Class A shares as of 2016 — likely reduced to ~233M by FY2021 through Class A→B conversions, but no updated filing confirms this.</w:t>
      </w:r>
    </w:p>
    <w:p>
      <w:pPr>
        <w:pStyle w:val="Heading2"/>
      </w:pPr>
      <w:r>
        <w:t xml:space="preserve">C) Related Party Cross-Check: GAP IDENTIFIED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Knight $500K Chairman Emeritus salary — consistent across proxy years. Thompson Jr. consulting agreement (entered Jun 2020) — confirmed in related party section. Swoosh governance loop (3 of 5 Swoosh votes held by Nike directors) — disclosed ONLY via Knight biography, absent from 10-K risk factors, Related Party Transactions, independence analysis, and all 8-Ks.</w:t>
      </w:r>
    </w:p>
    <w:p>
      <w:pPr>
        <w:pStyle w:val="Heading2"/>
      </w:pPr>
      <w:r>
        <w:t xml:space="preserve">D) Insider Trading Policy Cross-Check: FAILED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Comprehensive corpus search: ZERO instances of “10b5-1,” “trading plan,” “insider trading policy,” “blackout,” or “pre-clearance” in the FY2021 10-K body, all three 10-Qs, or any 8-K. The proxy contains only anti-hedging language and Form 4 footnote references. The ITP was first filed as Exhibit 19 with the FY2024 10-K, confirming the policy existed but was invisible across the FY2021 corpus.</w:t>
      </w:r>
    </w:p>
    <w:p>
      <w:pPr>
        <w:pStyle w:val="Heading2"/>
      </w:pPr>
      <w:r>
        <w:t xml:space="preserve">E) Timeline Integrity Check: PASSED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Filing cadence is regular. Parker’s largest cluster (Sep 24–Oct 7, $52.9M) falls within the expected post-earnings window following Sep 22 Q1 earnings. All Form 4s filed within 2 business days. No filings reference events that should have been disclosed earlier.</w:t>
      </w:r>
    </w:p>
    <w:p>
      <w:pPr>
        <w:pStyle w:val="Heading2"/>
      </w:pPr>
      <w:r>
        <w:t xml:space="preserve">F) SEC Engagement Check: FAILED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Twelve-year correspondence gap (since ~2009). Four times the SOX §408 triennial review requirement. Every governance deficiency in this audit has existed without public SEC challenge.</w:t>
      </w:r>
    </w:p>
    <w:p>
      <w:pPr>
        <w:pStyle w:val="Heading2"/>
      </w:pPr>
      <w:r>
        <w:t xml:space="preserve">G) Section 16(a) Delinquency: ANOMALY IDENTIFIED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FY2021 proxy’s restored “Delinquent Section 16(A) Reports” section (p.70) signals actual delinquencies. The FY2022 proxy drops this section, indicating FY2022 was clean. This one-year appearance-and-disappearance pattern suggests an isolated compliance event — most likely new-officer filing errors for Friend, Campion, or O’Neill during their first full reporting year.</w:t>
      </w:r>
    </w:p>
    <w:p>
      <w:r>
        <w:br w:type="page"/>
      </w:r>
    </w:p>
    <w:p>
      <w:pPr>
        <w:pStyle w:val="Heading1"/>
      </w:pPr>
      <w:r>
        <w:t xml:space="preserve">IV. Recommended Enforcement Actions</w:t>
      </w:r>
    </w:p>
    <w:p>
      <w:pPr>
        <w:pStyle w:val="Heading2"/>
      </w:pPr>
      <w:r>
        <w:t xml:space="preserve">Priority 1: Initiate SEC Staff Review (SOX §408)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Nike has not received a publicly visible comment letter in 12 years. Request that the Division of Corporation Finance initiate a triennial review of Nike’s FY2021 10-K/proxy with focus on: (a) dual-class risk factor adequacy under Item 105; (b) Swoosh LLC related party disclosure adequacy under Item 404; (c) insider trading policy description adequacy; (d) Section 16(a) delinquency specifics.</w:t>
      </w:r>
    </w:p>
    <w:p>
      <w:pPr>
        <w:pStyle w:val="Heading2"/>
      </w:pPr>
      <w:r>
        <w:t xml:space="preserve">Priority 2: Parker 10b5-1 Plan Subpoena (Cumulative)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Parker’s cumulative FY2019–FY2021 stock dispositions exceed $340 million. All were executed under 10b5-1 plans that received ZERO disclosure in any periodic filing across three fiscal years. Subpoena all trading plans governing Parker’s transactions. Particular focus: plans governing the Dec 2, 2019 blackout-period trade and the Sep 24–Oct 7, 2020 $52.9M cluster.</w:t>
      </w:r>
    </w:p>
    <w:p>
      <w:pPr>
        <w:pStyle w:val="Heading2"/>
      </w:pPr>
      <w:r>
        <w:t xml:space="preserve">Priority 3: Swoosh 13D Amendment Deficiency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13D is now 5 years stale. The January 2020 transformation of 2 of 3 “Independent Directors” into management insiders is arguably a “material change” requiring a 13D/A under Rule 13d-2. Request internal Swoosh/Nike legal correspondence regarding amendment obligations.</w:t>
      </w:r>
    </w:p>
    <w:p>
      <w:pPr>
        <w:pStyle w:val="Heading2"/>
      </w:pPr>
      <w:r>
        <w:t xml:space="preserve">Priority 4: FY2021 Section 16(a) Delinquency Detail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Request Nike to identify the specific insiders and transactions disclosed in the FY2021 “Delinquent Section 16(A) Reports” section. Cross-reference against Form 3/4 filing dates for Friend, Campion, O’Neill, and all directors. Determine whether the delinquency was administrative or substantive.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3"/>
        <w:szCs w:val="13"/>
      </w:rPr>
      <w:t xml:space="preserve">PRIVILEGED &amp; CONFIDENTIAL — Nike FY2021 Full-Corpus Evidence Bundle</w:t>
    </w:r>
    <w:r>
      <w:rPr>
        <w:rFonts w:ascii="Arial" w:cs="Arial" w:eastAsia="Arial" w:hAnsi="Arial"/>
        <w:color w:val="999999"/>
        <w:sz w:val="13"/>
        <w:szCs w:val="13"/>
      </w:rPr>
      <w:ptab w:alignment="right" w:relativeTo="margin" w:leader="none"/>
    </w:r>
    <w:r>
      <w:rPr>
        <w:rFonts w:ascii="Arial" w:cs="Arial" w:eastAsia="Arial" w:hAnsi="Arial"/>
        <w:color w:val="999999"/>
        <w:sz w:val="13"/>
        <w:szCs w:val="13"/>
      </w:rPr>
      <w:t xml:space="preserve">Page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1C1C" w:sz="4" w:space="4"/>
      </w:pBdr>
    </w:pPr>
    <w:r>
      <w:rPr>
        <w:rFonts w:ascii="Arial" w:cs="Arial" w:eastAsia="Arial" w:hAnsi="Arial"/>
        <w:b/>
        <w:bCs/>
        <w:color w:val="B91C1C"/>
        <w:sz w:val="14"/>
        <w:szCs w:val="14"/>
      </w:rPr>
      <w:t xml:space="preserve">SEC ENFORCEMENT TIP — FULL-CORPUS EDGAR AUDIT — FY2021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200"/>
      <w:outlineLvl w:val="0"/>
    </w:pPr>
    <w:rPr>
      <w:rFonts w:ascii="Arial" w:cs="Arial" w:eastAsia="Arial" w:hAnsi="Arial"/>
      <w:b/>
      <w:bCs/>
      <w:color w:val="0F1B2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50"/>
      <w:outlineLvl w:val="1"/>
    </w:pPr>
    <w:rPr>
      <w:rFonts w:ascii="Arial" w:cs="Arial" w:eastAsia="Arial" w:hAnsi="Arial"/>
      <w:b/>
      <w:bCs/>
      <w:color w:val="0F1B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2026-03-10T04:49:54.577Z</dcterms:created>
  <dcterms:modified xsi:type="dcterms:W3CDTF">2026-03-10T04:49:54.578Z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