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1B2D"/>
          <w:sz w:val="34"/>
          <w:szCs w:val="34"/>
        </w:rPr>
        <w:t xml:space="preserve">FULL-CORPUS COMPARATIVE FORENSIC TIMELINE — FISCAL YEAR 2022</w:t>
      </w:r>
    </w:p>
    <w:p>
      <w:pPr>
        <w:spacing w:after="2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12 Filing Types: 10-K • 10-Q (x3) • 8-K (x10–12) • DEF 14A • Form 3/4/5 • S-8 • SC 13D/G • CORRESP • 13F • 424B • Exhibits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Nike Inc. (NKE) | CIK 0000320187 | FY Ending May 31, 2022 | Generated: March 10, 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F1B2D"/>
          <w:sz w:val="14"/>
          <w:szCs w:val="14"/>
        </w:rPr>
        <w:t xml:space="preserve">FLAGS  </w:t>
      </w:r>
      <w:r>
        <w:rPr>
          <w:rFonts w:ascii="Arial" w:cs="Arial" w:eastAsia="Arial" w:hAnsi="Arial"/>
          <w:color w:val="4B5563"/>
          <w:sz w:val="13"/>
          <w:szCs w:val="13"/>
        </w:rPr>
        <w:t xml:space="preserve">RED = NEW FY2022 anomaly or enforcement-relevant  |  AMBER = Procedural irregularity  |  GREEN = Confirmed compliant  |  GREY = Calendar  |  BLUE = Post-FY22 regulatory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00"/>
        <w:gridCol w:w="2250"/>
        <w:gridCol w:w="2050"/>
        <w:gridCol w:w="2300"/>
        <w:gridCol w:w="5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FILING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PROXY / PERIODIC FILING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 4 / SECTION 16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GOVERNANCE / CORPORATE / CAPITAL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FLAG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Jun 1,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FY2022 begins. Donahoe 2nd full year CEO. Triple-insider Swoosh board: year 2.5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~Jun 17,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8-K (0000320187-21-000020): Material agreement filed as exhibit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~Jun 24,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Q4 FY2021 earnings. Revenue $44.5B (+19%). EPS $3.56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~Jul 8,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Parker sells 140K @ $160.16 (~$22.4M). Open window. Filed Jul 12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~Jul 20,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10-K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FY2021 10-K filed (0000320187-21-000028). Part III inc. by ref. ~18–20 risk factors — ZERO on dual-class/ITP. No Exhibit 19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~Aug 9–17,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DEF 14A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FY2021 proxy (0000320187-21-000035). §16(a) RESTORED (p.70) — signals delinquencies. Zero 10b5-1 (3rd yr). Swoosh undisclosed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Aug 15,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Q1 FY2022 blackout opens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~Mid-Jul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VIETNAM FACTORY CLOSURES begin (~50% footwear production). COVID Delta lockdowns. 10+ weeks lost production. NO standalone 8-K filed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Sep 19,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Board director annual RSU grants (Code A)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Sep 23,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Q1 FY2022 earnings. Revenue $12.2B (+16%). Vietnam closures disclosed: 130M units cancelled. Transit times doubled to ~80 days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Oct 6,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FY2021 annual meeting. Say-on-pay ~72% (recovered from 54%). 4 shareholder proposals ALL defeated (30.5%, 27.7%, 17.6%, 35.6%)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2"/>
                <w:szCs w:val="12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~Oct 8,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10-Q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Q1 10-Q filed (0000320187-21-000045). Vietnam production loss quantified. Supply chain risk factors expanded. Zero ITP references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Oct 13,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PARKER sells 100K @ $154.99 ($15.5M). Open window. NKE approaching all-time high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2"/>
                <w:szCs w:val="12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Nov 2–3,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PARKER sells 160K shares in 2 days: 100K @ $167.52 + 60K @ $171.37 = $27.1M. NKE ALL-TIME HIGH ZONE ($179 intraday Nov 5). Zero 10b5-1 disclosure on 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Nov 15,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Q2 FY2022 blackout opens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Dec 13,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Nike acquires RTFKT (NFT/virtual footwear). Creates new NFT/crypto regulatory risk factor in 10-K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Dec 15,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SEC PROPOSES 10b5-1 AMENDMENTS (Release 34-93782). Cooling-off periods, adoption date disclosure, Form 4 checkbox. Nike DOES NOT submit comment letter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Dec 18,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Q2 FY2022 earnings. Revenue $11.4B (+1%). Inventory $7.6B (+15%)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Dec 30, 2021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Parker sells 18,959 shares @ ~$170 ($3.2M). Open window. Filed Dec 31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~Jan 5,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10-Q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Q2 10-Q filed (0000320187-22-000004). Inventory buildup disclosed ($7.6B). Russia/Ukraine not yet a factor. Zero ITP references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Jan 7,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Parker sells 81,041 @ $158.37 ($12.8M). Open window. Filed Jan 10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Jan 26,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Parker sells 100K @ $146.39 ($14.6M). Post-earnings window. Stock declining from ATH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Feb 14,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Parker sells 60K @ $141.58 ($8.5M). FINAL FY2022 SALE. Post-transaction balance ~787K shares. Cumulative FY2022 Parker sales: ~$81.7M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2"/>
                <w:szCs w:val="12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Feb 15,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Q3 FY2022 blackout opens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Feb 24,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Russia invades Ukraine. Nike will deconsolidate Russian operations (~$150M charges in Q4)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Mar 11,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8-K: New $2B revolving credit facility (Item 1.01). Replaces previous $1B facility. BofA admin agent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Mar 21,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Q3 FY2022 earnings. Revenue $10.9B (+5%). Russia deconsolidation charges begin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Mar 31,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Form 4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TRAVIS KNIGHT resigns as trustee of 2009 Irrevocable Trust II. ~41M Class A shares change reporting. Swoosh company agreement AMENDED to preserve Knight voting rights. NO 13D/A FILED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~Apr 5,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10-Q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Q3 10-Q filed (0000320187-22-000017). Russia deconsolidation. Inventory $9.0B (+19%). Zero ITP references across ALL 3 10-Qs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May 15,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Q4 FY2022 blackout opens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May 31,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FY2022 ends. Revenue $46.7B (+5%). Net income $5.1B (−10%). NKE stock: ~$117 (down from $179 ATH). Cumulative Parker sales FY19–22: ~$420M+. ZERO insider purchases by ANY officer/director across 4 years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2"/>
                <w:szCs w:val="12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~Jun 27,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Q4/FY2022 earnings. Q4 revenue $12.2B (+3%). New $18B share repurchase program authorized. FY2022 buybacks: $4.0B (27.3M shares)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~Jul 21,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10-K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FY2022 10-K filed (0000320187-22-000038). ~30+ risk factors: NEW for Russia/Ukraine, NFT/crypto, inflation, hybrid work. STILL ZERO on dual-class/Swoosh/ITP/§16. No Exhibit 19. No 10-K/A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~Jul 21,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DEF 14A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FY2022 proxy filed (0000320187-22-000041). §16(a) DROPPED — absent for exactly 1 year between FY2021 (present) and FY2023 (present). Zero 10b5-1 (4TH YEAR). Swoosh undisclosed. Parker/Donahoe/Graf bios still omit Swoosh. Say-on-pay recovery continues. New ESG oversight section</w:t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Sep 9,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8-K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FY2022 annual meeting. 1 shareholder proposal (Uyghur cotton sourcing) — defeated. Mónica Gil + Robert Swan appointed to board (Sep 20 8-K, 0000320187-22-000049)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2"/>
                <w:szCs w:val="12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Dec 14,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N/A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← POST-FY22: SEC ADOPTS FINAL 10b5-1 RULES. Compliance Apr 1, 2023. Mandatory Form 4 checkbox, adoption date disclosure, cooling-off periods. Nike had ZERO voluntary disclosure for 4 years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2"/>
                <w:szCs w:val="12"/>
              </w:rPr>
              <w:t xml:space="preserve">BLUE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~2009–2022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CORRESP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before="6" w:after="6"/>
            </w:pPr>
            <w:r>
              <w:rPr>
                <w:rFonts w:ascii="Arial" w:cs="Arial" w:eastAsia="Arial" w:hAnsi="Arial"/>
                <w:b/>
                <w:bCs/>
                <w:color w:val="B91C1C"/>
                <w:sz w:val="13"/>
                <w:szCs w:val="13"/>
              </w:rPr>
              <w:t xml:space="preserve">13-YEAR SEC COMMENT LETTER GAP. Zero UPLOAD/CORRESP. ~4.3x SOX §408 triennial maximum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Convergence Points — FY2022-Specific</w:t>
      </w:r>
    </w:p>
    <w:p>
      <w:pPr>
        <w:pStyle w:val="Heading2"/>
      </w:pPr>
      <w:r>
        <w:t xml:space="preserve">Convergence 1: November 2–5, 2021 (Parker $27.1M at All-Time High + Zero 10b5-1 Disclosure)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Parker sold $27.1M in stock across November 2–3 as NKE approached its intraday all-time high of $179.10 on November 5. The Form 4 filings contain no 10b5-1 footnotes. The SEC’s proposed 10b5-1 amendments would be published 42 days later (December 15). This is the single largest two-day selling event in Parker’s entire tenure with zero trading plan disclosure — occurring in the exact regulatory window where such disclosure was under maximum public scrutiny.</w:t>
      </w:r>
    </w:p>
    <w:p>
      <w:pPr>
        <w:pStyle w:val="Heading2"/>
      </w:pPr>
      <w:r>
        <w:t xml:space="preserve">Convergence 2: March 31, 2022 (Travis Knight Trust Restructuring + No 13D Amendment)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Travis Knight resigned as trustee of the 2009 Irrevocable Trust II, affecting reporting for ~41M Class A shares. The Swoosh company agreement was simultaneously amended to preserve Knight’s Class X voting rights. This structural change in the Knight family’s control chain — the pathway through which ~97% of Nike’s voting power flows — triggered no Schedule 13D/A amendment. The 13D entered its sixth year of staleness. The Form 4 filing (0001127602-22-010957) is the sole public record of this restructuring.</w:t>
      </w:r>
    </w:p>
    <w:p>
      <w:pPr>
        <w:pStyle w:val="Heading2"/>
      </w:pPr>
      <w:r>
        <w:t xml:space="preserve">Convergence 3: July 21, 2022 (10-K + Proxy = Dual Disclosure Failure, Year 4)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The 10-K (0000320187-22-000038) and proxy (0000320187-22-000041) were filed simultaneously. The 10-K added risk factors for Russia/Ukraine, NFTs, inflation, and hybrid work — but STILL omitted dual-class governance, controlling shareholder, and ITP risk factors. The proxy dropped the Section 16(a) delinquency section (present in FY2021, restored in FY2023), contained zero 10b5-1 disclosure for the fourth consecutive year, and maintained the Swoosh cross-directorship omission from all director biographies. Nike added ESG oversight disclosure and compensation reform details while maintaining near-total silence on insider trading governance — a selectivity that reinforces the pattern of responsive disclosure on externally-pressured topics and strategic opacity on structurally insulated topics.</w:t>
      </w:r>
    </w:p>
    <w:p>
      <w:pPr>
        <w:pStyle w:val="Heading1"/>
      </w:pPr>
      <w:r>
        <w:t xml:space="preserve">Methodology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4B5563"/>
          <w:sz w:val="16"/>
          <w:szCs w:val="16"/>
        </w:rPr>
        <w:t xml:space="preserve">Ground-up audit of 12 EDGAR filing categories for Nike CIK 0000320187 during June 2021–October 2022. Each filing cross-referenced against every other for consistency. Investor-facing communications (earnings calls, Nike IR website, ProxyVote materials) reviewed for 10b5-1 and governance references. New FY2022-specific anomalies identified independent of prior-year confirmation bias. Accession numbers cited for all material filings.</w:t>
      </w:r>
    </w:p>
    <w:sectPr>
      <w:headerReference w:type="default" r:id="rId6"/>
      <w:footerReference w:type="default" r:id="rId7"/>
      <w:pgSz w:w="12240" w:h="15840" w:orient="landscape"/>
      <w:pgMar w:top="640" w:right="640" w:bottom="6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2"/>
        <w:szCs w:val="12"/>
      </w:rPr>
      <w:t xml:space="preserve">Nike Inc. (CIK 0000320187) — FY2022 Full-Corpus Forensic Timeline — 12 Filing Types</w:t>
    </w:r>
    <w:r>
      <w:rPr>
        <w:rFonts w:ascii="Arial" w:cs="Arial" w:eastAsia="Arial" w:hAnsi="Arial"/>
        <w:color w:val="999999"/>
        <w:sz w:val="12"/>
        <w:szCs w:val="12"/>
      </w:rPr>
      <w:ptab w:alignment="right" w:relativeTo="margin" w:leader="none"/>
    </w:r>
    <w:r>
      <w:rPr>
        <w:rFonts w:ascii="Arial" w:cs="Arial" w:eastAsia="Arial" w:hAnsi="Arial"/>
        <w:color w:val="999999"/>
        <w:sz w:val="12"/>
        <w:szCs w:val="12"/>
      </w:rPr>
      <w:t xml:space="preserve">Page </w:t>
    </w:r>
    <w:r>
      <w:rPr>
        <w:rFonts w:ascii="Arial" w:cs="Arial" w:eastAsia="Arial" w:hAnsi="Arial"/>
        <w:color w:val="999999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B2D" w:sz="4" w:space="4"/>
      </w:pBdr>
    </w:pPr>
    <w:r>
      <w:rPr>
        <w:rFonts w:ascii="Arial" w:cs="Arial" w:eastAsia="Arial" w:hAnsi="Arial"/>
        <w:b/>
        <w:bCs/>
        <w:color w:val="B91C1C"/>
        <w:sz w:val="13"/>
        <w:szCs w:val="13"/>
      </w:rPr>
      <w:t xml:space="preserve">PRIVILEGED &amp; CONFIDENTIAL  |  FULL-CORPUS EDGAR AUDIT  |  ATTORNEY WORK PRODUCT</w:t>
    </w:r>
    <w:r>
      <w:rPr>
        <w:rFonts w:ascii="Arial" w:cs="Arial" w:eastAsia="Arial" w:hAnsi="Arial"/>
        <w:sz w:val="13"/>
        <w:szCs w:val="13"/>
      </w:rPr>
      <w:t xml:space="preserve">                                                                 </w:t>
    </w:r>
    <w:r>
      <w:rPr>
        <w:rFonts w:ascii="Arial" w:cs="Arial" w:eastAsia="Arial" w:hAnsi="Arial"/>
        <w:color w:val="999999"/>
        <w:sz w:val="13"/>
        <w:szCs w:val="13"/>
      </w:rPr>
      <w:t xml:space="preserve">JLAW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F1B2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30"/>
      <w:outlineLvl w:val="1"/>
    </w:pPr>
    <w:rPr>
      <w:rFonts w:ascii="Arial" w:cs="Arial" w:eastAsia="Arial" w:hAnsi="Arial"/>
      <w:b/>
      <w:bCs/>
      <w:color w:val="0F1B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2026-03-10T15:23:02.760Z</dcterms:created>
  <dcterms:modified xsi:type="dcterms:W3CDTF">2026-03-10T15:23:02.761Z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