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2545" w:sz="6" w:space="8"/>
        </w:pBdr>
        <w:spacing w:after="120"/>
        <w:jc w:val="center"/>
      </w:pPr>
      <w:r>
        <w:rPr>
          <w:rFonts w:ascii="Arial" w:cs="Arial" w:eastAsia="Arial" w:hAnsi="Arial"/>
          <w:b/>
          <w:bCs/>
          <w:color w:val="0B2545"/>
          <w:sz w:val="30"/>
          <w:szCs w:val="30"/>
        </w:rPr>
        <w:t xml:space="preserve">GOVERNANCE BRIEFING MEMORANDUM — FY2022 FULL-CORPUS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tcMar>
              <w:top w:type="dxa" w:w="45"/>
              <w:left w:type="dxa" w:w="80"/>
              <w:bottom w:type="dxa" w:w="45"/>
              <w:right w:type="dxa" w:w="80"/>
            </w:tcMar>
          </w:tcPr>
          <w:p>
            <w:r>
              <w:rPr>
                <w:rFonts w:ascii="Arial" w:cs="Arial" w:eastAsia="Arial" w:hAnsi="Arial"/>
                <w:b/>
                <w:bCs/>
                <w:color w:val="0B2545"/>
                <w:sz w:val="20"/>
                <w:szCs w:val="20"/>
              </w:rPr>
              <w:t xml:space="preserve">TO:</w:t>
            </w:r>
          </w:p>
        </w:tc>
        <w:tc>
          <w:tcPr>
            <w:tcW w:type="dxa" w:w="7960"/>
            <w:tcBorders>
              <w:top w:val="none"/>
              <w:left w:val="none"/>
              <w:bottom w:val="none"/>
              <w:right w:val="none"/>
            </w:tcBorders>
            <w:tcMar>
              <w:top w:type="dxa" w:w="45"/>
              <w:left w:type="dxa" w:w="80"/>
              <w:bottom w:type="dxa" w:w="45"/>
              <w:right w:type="dxa" w:w="80"/>
            </w:tcMar>
          </w:tcPr>
          <w:p>
            <w:r>
              <w:rPr>
                <w:rFonts w:ascii="Arial" w:cs="Arial" w:eastAsia="Arial" w:hAnsi="Arial"/>
                <w:sz w:val="20"/>
                <w:szCs w:val="20"/>
              </w:rPr>
              <w:t xml:space="preserve">ISS Governance Research Division — U.S. Large Cap Coverage</w:t>
            </w:r>
          </w:p>
        </w:tc>
      </w:tr>
      <w:tr>
        <w:tc>
          <w:tcPr>
            <w:tcW w:type="dxa" w:w="1400"/>
            <w:tcBorders>
              <w:top w:val="none"/>
              <w:left w:val="none"/>
              <w:bottom w:val="none"/>
              <w:right w:val="none"/>
            </w:tcBorders>
            <w:tcMar>
              <w:top w:type="dxa" w:w="45"/>
              <w:left w:type="dxa" w:w="80"/>
              <w:bottom w:type="dxa" w:w="45"/>
              <w:right w:type="dxa" w:w="80"/>
            </w:tcMar>
          </w:tcPr>
          <w:p>
            <w:r>
              <w:rPr>
                <w:rFonts w:ascii="Arial" w:cs="Arial" w:eastAsia="Arial" w:hAnsi="Arial"/>
                <w:b/>
                <w:bCs/>
                <w:color w:val="0B2545"/>
                <w:sz w:val="20"/>
                <w:szCs w:val="20"/>
              </w:rPr>
              <w:t xml:space="preserve">FROM:</w:t>
            </w:r>
          </w:p>
        </w:tc>
        <w:tc>
          <w:tcPr>
            <w:tcW w:type="dxa" w:w="7960"/>
            <w:tcBorders>
              <w:top w:val="none"/>
              <w:left w:val="none"/>
              <w:bottom w:val="none"/>
              <w:right w:val="none"/>
            </w:tcBorders>
            <w:tcMar>
              <w:top w:type="dxa" w:w="45"/>
              <w:left w:type="dxa" w:w="80"/>
              <w:bottom w:type="dxa" w:w="45"/>
              <w:right w:type="dxa" w:w="80"/>
            </w:tcMar>
          </w:tcPr>
          <w:p>
            <w:r>
              <w:rPr>
                <w:rFonts w:ascii="Arial" w:cs="Arial" w:eastAsia="Arial" w:hAnsi="Arial"/>
                <w:sz w:val="20"/>
                <w:szCs w:val="20"/>
              </w:rPr>
              <w:t xml:space="preserve">JLAW Forensic Intelligence Platform v4</w:t>
            </w:r>
          </w:p>
        </w:tc>
      </w:tr>
      <w:tr>
        <w:tc>
          <w:tcPr>
            <w:tcW w:type="dxa" w:w="1400"/>
            <w:tcBorders>
              <w:top w:val="none"/>
              <w:left w:val="none"/>
              <w:bottom w:val="none"/>
              <w:right w:val="none"/>
            </w:tcBorders>
            <w:tcMar>
              <w:top w:type="dxa" w:w="45"/>
              <w:left w:type="dxa" w:w="80"/>
              <w:bottom w:type="dxa" w:w="45"/>
              <w:right w:type="dxa" w:w="80"/>
            </w:tcMar>
          </w:tcPr>
          <w:p>
            <w:r>
              <w:rPr>
                <w:rFonts w:ascii="Arial" w:cs="Arial" w:eastAsia="Arial" w:hAnsi="Arial"/>
                <w:b/>
                <w:bCs/>
                <w:color w:val="0B2545"/>
                <w:sz w:val="20"/>
                <w:szCs w:val="20"/>
              </w:rPr>
              <w:t xml:space="preserve">DATE:</w:t>
            </w:r>
          </w:p>
        </w:tc>
        <w:tc>
          <w:tcPr>
            <w:tcW w:type="dxa" w:w="7960"/>
            <w:tcBorders>
              <w:top w:val="none"/>
              <w:left w:val="none"/>
              <w:bottom w:val="none"/>
              <w:right w:val="none"/>
            </w:tcBorders>
            <w:tcMar>
              <w:top w:type="dxa" w:w="45"/>
              <w:left w:type="dxa" w:w="80"/>
              <w:bottom w:type="dxa" w:w="45"/>
              <w:right w:type="dxa" w:w="80"/>
            </w:tcMar>
          </w:tcPr>
          <w:p>
            <w:r>
              <w:rPr>
                <w:rFonts w:ascii="Arial" w:cs="Arial" w:eastAsia="Arial" w:hAnsi="Arial"/>
                <w:sz w:val="20"/>
                <w:szCs w:val="20"/>
              </w:rPr>
              <w:t xml:space="preserve">March 10, 2026</w:t>
            </w:r>
          </w:p>
        </w:tc>
      </w:tr>
      <w:tr>
        <w:tc>
          <w:tcPr>
            <w:tcW w:type="dxa" w:w="1400"/>
            <w:tcBorders>
              <w:top w:val="none"/>
              <w:left w:val="none"/>
              <w:bottom w:val="none"/>
              <w:right w:val="none"/>
            </w:tcBorders>
            <w:tcMar>
              <w:top w:type="dxa" w:w="45"/>
              <w:left w:type="dxa" w:w="80"/>
              <w:bottom w:type="dxa" w:w="45"/>
              <w:right w:type="dxa" w:w="80"/>
            </w:tcMar>
          </w:tcPr>
          <w:p>
            <w:r>
              <w:rPr>
                <w:rFonts w:ascii="Arial" w:cs="Arial" w:eastAsia="Arial" w:hAnsi="Arial"/>
                <w:b/>
                <w:bCs/>
                <w:color w:val="0B2545"/>
                <w:sz w:val="20"/>
                <w:szCs w:val="20"/>
              </w:rPr>
              <w:t xml:space="preserve">RE:</w:t>
            </w:r>
          </w:p>
        </w:tc>
        <w:tc>
          <w:tcPr>
            <w:tcW w:type="dxa" w:w="7960"/>
            <w:tcBorders>
              <w:top w:val="none"/>
              <w:left w:val="none"/>
              <w:bottom w:val="none"/>
              <w:right w:val="none"/>
            </w:tcBorders>
            <w:tcMar>
              <w:top w:type="dxa" w:w="45"/>
              <w:left w:type="dxa" w:w="80"/>
              <w:bottom w:type="dxa" w:w="45"/>
              <w:right w:type="dxa" w:w="80"/>
            </w:tcMar>
          </w:tcPr>
          <w:p>
            <w:r>
              <w:rPr>
                <w:rFonts w:ascii="Arial" w:cs="Arial" w:eastAsia="Arial" w:hAnsi="Arial"/>
                <w:b/>
                <w:bCs/>
                <w:sz w:val="20"/>
                <w:szCs w:val="20"/>
              </w:rPr>
              <w:t xml:space="preserve">ESCALATION: Travis Knight Trust Restructuring Reveals Evolving Swoosh Control Chain — 6-Year-Stale 13D Now Materially Inaccurate</w:t>
            </w:r>
          </w:p>
        </w:tc>
      </w:tr>
      <w:tr>
        <w:tc>
          <w:tcPr>
            <w:tcW w:type="dxa" w:w="1400"/>
            <w:tcBorders>
              <w:top w:val="none"/>
              <w:left w:val="none"/>
              <w:bottom w:val="none"/>
              <w:right w:val="none"/>
            </w:tcBorders>
            <w:tcMar>
              <w:top w:type="dxa" w:w="45"/>
              <w:left w:type="dxa" w:w="80"/>
              <w:bottom w:type="dxa" w:w="45"/>
              <w:right w:type="dxa" w:w="80"/>
            </w:tcMar>
          </w:tcPr>
          <w:p>
            <w:r>
              <w:rPr>
                <w:rFonts w:ascii="Arial" w:cs="Arial" w:eastAsia="Arial" w:hAnsi="Arial"/>
                <w:b/>
                <w:bCs/>
                <w:color w:val="0B2545"/>
                <w:sz w:val="20"/>
                <w:szCs w:val="20"/>
              </w:rPr>
              <w:t xml:space="preserve">COMPANY:</w:t>
            </w:r>
          </w:p>
        </w:tc>
        <w:tc>
          <w:tcPr>
            <w:tcW w:type="dxa" w:w="7960"/>
            <w:tcBorders>
              <w:top w:val="none"/>
              <w:left w:val="none"/>
              <w:bottom w:val="none"/>
              <w:right w:val="none"/>
            </w:tcBorders>
            <w:tcMar>
              <w:top w:type="dxa" w:w="45"/>
              <w:left w:type="dxa" w:w="80"/>
              <w:bottom w:type="dxa" w:w="45"/>
              <w:right w:type="dxa" w:w="80"/>
            </w:tcMar>
          </w:tcPr>
          <w:p>
            <w:r>
              <w:rPr>
                <w:rFonts w:ascii="Arial" w:cs="Arial" w:eastAsia="Arial" w:hAnsi="Arial"/>
                <w:sz w:val="20"/>
                <w:szCs w:val="20"/>
              </w:rPr>
              <w:t xml:space="preserve">Nike, Inc. (NYSE: NKE) | CIK 0000320187 | S&amp;P 500</w:t>
            </w:r>
          </w:p>
        </w:tc>
      </w:tr>
      <w:tr>
        <w:tc>
          <w:tcPr>
            <w:tcW w:type="dxa" w:w="1400"/>
            <w:tcBorders>
              <w:top w:val="none"/>
              <w:left w:val="none"/>
              <w:bottom w:val="none"/>
              <w:right w:val="none"/>
            </w:tcBorders>
            <w:tcMar>
              <w:top w:type="dxa" w:w="45"/>
              <w:left w:type="dxa" w:w="80"/>
              <w:bottom w:type="dxa" w:w="45"/>
              <w:right w:type="dxa" w:w="80"/>
            </w:tcMar>
          </w:tcPr>
          <w:p>
            <w:r>
              <w:rPr>
                <w:rFonts w:ascii="Arial" w:cs="Arial" w:eastAsia="Arial" w:hAnsi="Arial"/>
                <w:b/>
                <w:bCs/>
                <w:color w:val="0B2545"/>
                <w:sz w:val="20"/>
                <w:szCs w:val="20"/>
              </w:rPr>
              <w:t xml:space="preserve">PRIOR MEMOS:</w:t>
            </w:r>
          </w:p>
        </w:tc>
        <w:tc>
          <w:tcPr>
            <w:tcW w:type="dxa" w:w="7960"/>
            <w:tcBorders>
              <w:top w:val="none"/>
              <w:left w:val="none"/>
              <w:bottom w:val="none"/>
              <w:right w:val="none"/>
            </w:tcBorders>
            <w:tcMar>
              <w:top w:type="dxa" w:w="45"/>
              <w:left w:type="dxa" w:w="80"/>
              <w:bottom w:type="dxa" w:w="45"/>
              <w:right w:type="dxa" w:w="80"/>
            </w:tcMar>
          </w:tcPr>
          <w:p>
            <w:r>
              <w:rPr>
                <w:rFonts w:ascii="Arial" w:cs="Arial" w:eastAsia="Arial" w:hAnsi="Arial"/>
                <w:sz w:val="20"/>
                <w:szCs w:val="20"/>
              </w:rPr>
              <w:t xml:space="preserve">FY2019 (Mar 6) | FY2020 proxy (Mar 8) | FY2020 full-corpus (Mar 9) | FY2021 proxy (Mar 8) | FY2021 full-corpus (Mar 9)</w:t>
            </w:r>
          </w:p>
        </w:tc>
      </w:tr>
    </w:tbl>
    <w:p>
      <w:pPr>
        <w:pBdr>
          <w:bottom w:val="single" w:color="0B2545" w:sz="2" w:space="6"/>
        </w:pBdr>
        <w:spacing w:before="120"/>
      </w:pPr>
    </w:p>
    <w:p>
      <w:pPr>
        <w:pStyle w:val="Heading1"/>
      </w:pPr>
      <w:r>
        <w:t xml:space="preserve">The FY2022 Escalation: Knight Family Control Chain Restructured Without 13D Amendment</w:t>
      </w:r>
    </w:p>
    <w:p>
      <w:pPr>
        <w:spacing w:before="0" w:after="110"/>
      </w:pPr>
      <w:r>
        <w:rPr>
          <w:rFonts w:ascii="Arial" w:cs="Arial" w:eastAsia="Arial" w:hAnsi="Arial"/>
          <w:b w:val="false"/>
          <w:bCs w:val="false"/>
          <w:i w:val="false"/>
          <w:iCs w:val="false"/>
          <w:color w:val="1A1A1A"/>
          <w:sz w:val="20"/>
          <w:szCs w:val="20"/>
        </w:rPr>
        <w:t xml:space="preserve">This memo introduces an entirely new Swoosh governance dimension not present in prior analyses. On March 31, 2022, Travis A. Knight resigned as trustee of the Travis A. Knight 2009 Irrevocable Trust II. This trust held approximately 41 million Class A shares — representing ~13.5% of all Class A stock. The resignation transferred fiduciary control of these shares to successor trustees while Travis Knight retained his two Class X voting seats on Swoosh’s five-seat board through an amendment to Swoosh’s company agreement.</w:t>
      </w:r>
    </w:p>
    <w:p>
      <w:pPr>
        <w:spacing w:before="0" w:after="110"/>
      </w:pPr>
      <w:r>
        <w:rPr>
          <w:rFonts w:ascii="Arial" w:cs="Arial" w:eastAsia="Arial" w:hAnsi="Arial"/>
          <w:b w:val="false"/>
          <w:bCs w:val="false"/>
          <w:i w:val="false"/>
          <w:iCs w:val="false"/>
          <w:color w:val="1A1A1A"/>
          <w:sz w:val="20"/>
          <w:szCs w:val="20"/>
        </w:rPr>
        <w:t xml:space="preserve">The significance: the Knight family’s control chain over Nike’s voting power was restructured without any Schedule 13D amendment. The public record of how the Knight family exercises its ~97% voting control is now materially different from the 2015/2016 13D filing. The 13D describes Travis Knight as trustee of the Trust that holds Swoosh X Holdings (which holds Swoosh’s Class X Units). As of March 31, 2022, this description is factually inaccurate.</w:t>
      </w:r>
    </w:p>
    <w:p>
      <w:pPr>
        <w:spacing w:before="0" w:after="110"/>
      </w:pPr>
      <w:r>
        <w:rPr>
          <w:rFonts w:ascii="Arial" w:cs="Arial" w:eastAsia="Arial" w:hAnsi="Arial"/>
          <w:b w:val="false"/>
          <w:bCs w:val="false"/>
          <w:i w:val="false"/>
          <w:iCs w:val="false"/>
          <w:color w:val="1A1A1A"/>
          <w:sz w:val="20"/>
          <w:szCs w:val="20"/>
        </w:rPr>
        <w:t xml:space="preserve">The only public record of this restructuring is a single Form 4 filing (accession 0001127602-22-010957, filed April 1, 2022) with footnotes describing Travis Knight’s resignation and the company agreement amendment. No 13D/A was filed. No proxy disclosure of the restructuring was made. No 8-K was filed. The governance pathway through which the Knight family controls Nike’s board elections is now documented only in a Form 4 footnote — a filing type that ISS does not systematically review for governance information.</w:t>
      </w:r>
    </w:p>
    <w:p>
      <w:pPr>
        <w:pStyle w:val="Heading1"/>
      </w:pPr>
      <w:r>
        <w:t xml:space="preserve">Swoosh LLC Board as of May 31, 2022: Configuration Unchanged, Context Transformed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1800"/>
        <w:gridCol w:w="1860"/>
      </w:tblGrid>
      <w:tr>
        <w:tc>
          <w:tcPr>
            <w:tcW w:type="dxa" w:w="150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DIRECTOR</w:t>
            </w:r>
          </w:p>
        </w:tc>
        <w:tc>
          <w:tcPr>
            <w:tcW w:type="dxa" w:w="210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NIKE ROLE</w:t>
            </w:r>
          </w:p>
        </w:tc>
        <w:tc>
          <w:tcPr>
            <w:tcW w:type="dxa" w:w="210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SWOOSH ROLE</w:t>
            </w:r>
          </w:p>
        </w:tc>
        <w:tc>
          <w:tcPr>
            <w:tcW w:type="dxa" w:w="180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VOTES</w:t>
            </w:r>
          </w:p>
        </w:tc>
        <w:tc>
          <w:tcPr>
            <w:tcW w:type="dxa" w:w="186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FY2022 CHANGE?</w:t>
            </w:r>
          </w:p>
        </w:tc>
      </w:tr>
      <w:tr>
        <w:tc>
          <w:tcPr>
            <w:tcW w:type="dxa" w:w="15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Mark Parker</w:t>
            </w:r>
          </w:p>
        </w:tc>
        <w:tc>
          <w:tcPr>
            <w:tcW w:type="dxa" w:w="2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Executive Chairman (non-independent)</w:t>
            </w:r>
          </w:p>
        </w:tc>
        <w:tc>
          <w:tcPr>
            <w:tcW w:type="dxa" w:w="2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Independent Director</w:t>
            </w:r>
          </w:p>
        </w:tc>
        <w:tc>
          <w:tcPr>
            <w:tcW w:type="dxa" w:w="18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 of 5</w:t>
            </w:r>
          </w:p>
        </w:tc>
        <w:tc>
          <w:tcPr>
            <w:tcW w:type="dxa" w:w="186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92400E"/>
                <w:sz w:val="14"/>
                <w:szCs w:val="14"/>
              </w:rPr>
              <w:t xml:space="preserve">None — sold $81.7M NKE stock</w:t>
            </w:r>
          </w:p>
        </w:tc>
      </w:tr>
      <w:tr>
        <w:tc>
          <w:tcPr>
            <w:tcW w:type="dxa" w:w="15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John Donahoe</w:t>
            </w:r>
          </w:p>
        </w:tc>
        <w:tc>
          <w:tcPr>
            <w:tcW w:type="dxa" w:w="2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President &amp; CEO (non-independent)</w:t>
            </w:r>
          </w:p>
        </w:tc>
        <w:tc>
          <w:tcPr>
            <w:tcW w:type="dxa" w:w="2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Independent Director</w:t>
            </w:r>
          </w:p>
        </w:tc>
        <w:tc>
          <w:tcPr>
            <w:tcW w:type="dxa" w:w="18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 of 5</w:t>
            </w:r>
          </w:p>
        </w:tc>
        <w:tc>
          <w:tcPr>
            <w:tcW w:type="dxa" w:w="186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None</w:t>
            </w:r>
          </w:p>
        </w:tc>
      </w:tr>
      <w:tr>
        <w:tc>
          <w:tcPr>
            <w:tcW w:type="dxa" w:w="15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Alan Graf Jr.</w:t>
            </w:r>
          </w:p>
        </w:tc>
        <w:tc>
          <w:tcPr>
            <w:tcW w:type="dxa" w:w="2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Director, Audit Chair (independent; 20th yr)</w:t>
            </w:r>
          </w:p>
        </w:tc>
        <w:tc>
          <w:tcPr>
            <w:tcW w:type="dxa" w:w="2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Independent Director</w:t>
            </w:r>
          </w:p>
        </w:tc>
        <w:tc>
          <w:tcPr>
            <w:tcW w:type="dxa" w:w="18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 of 5</w:t>
            </w:r>
          </w:p>
        </w:tc>
        <w:tc>
          <w:tcPr>
            <w:tcW w:type="dxa" w:w="186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92400E"/>
                <w:sz w:val="14"/>
                <w:szCs w:val="14"/>
              </w:rPr>
              <w:t xml:space="preserve">None — 20-year tenure milestone</w:t>
            </w:r>
          </w:p>
        </w:tc>
      </w:tr>
      <w:tr>
        <w:tc>
          <w:tcPr>
            <w:tcW w:type="dxa" w:w="15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Travis Knight</w:t>
            </w:r>
          </w:p>
        </w:tc>
        <w:tc>
          <w:tcPr>
            <w:tcW w:type="dxa" w:w="2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Director (non-independent)</w:t>
            </w:r>
          </w:p>
        </w:tc>
        <w:tc>
          <w:tcPr>
            <w:tcW w:type="dxa" w:w="21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Class X (President/Secretary)</w:t>
            </w:r>
          </w:p>
        </w:tc>
        <w:tc>
          <w:tcPr>
            <w:tcW w:type="dxa" w:w="18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2 of 5</w:t>
            </w:r>
          </w:p>
        </w:tc>
        <w:tc>
          <w:tcPr>
            <w:tcW w:type="dxa" w:w="186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B91C1C"/>
                <w:sz w:val="14"/>
                <w:szCs w:val="14"/>
              </w:rPr>
              <w:t xml:space="preserve">RESIGNED AS TRUSTEE. Retained voting via company agreement amendment. NO 13D/A</w:t>
            </w:r>
          </w:p>
        </w:tc>
      </w:tr>
    </w:tbl>
    <w:p>
      <w:pPr>
        <w:spacing w:before="0" w:after="110"/>
      </w:pPr>
      <w:r>
        <w:rPr>
          <w:rFonts w:ascii="Arial" w:cs="Arial" w:eastAsia="Arial" w:hAnsi="Arial"/>
          <w:b w:val="false"/>
          <w:bCs w:val="false"/>
          <w:i w:val="false"/>
          <w:iCs w:val="false"/>
          <w:color w:val="1A1A1A"/>
          <w:sz w:val="20"/>
          <w:szCs w:val="20"/>
        </w:rPr>
        <w:t xml:space="preserve">The board composition is numerically identical to FY2021, but the governance substrate has changed. Travis Knight no longer serves as trustee of the trust that controls Swoosh’s ownership chain, yet retains his Class X voting authority through a company agreement amendment that exists only in a Form 4 footnote. This is a governance arrangement that cannot be discovered through standard proxy review or even 13D review (since no 13D/A was filed).</w:t>
      </w:r>
    </w:p>
    <w:p>
      <w:r>
        <w:br w:type="page"/>
      </w:r>
    </w:p>
    <w:p>
      <w:pPr>
        <w:pStyle w:val="Heading1"/>
      </w:pPr>
      <w:r>
        <w:t xml:space="preserve">The $420 Million Cumulative Question: Parker’s Sales Through the Swoosh Governance Lens</w:t>
      </w:r>
    </w:p>
    <w:p>
      <w:pPr>
        <w:spacing w:before="0" w:after="110"/>
      </w:pPr>
      <w:r>
        <w:rPr>
          <w:rFonts w:ascii="Arial" w:cs="Arial" w:eastAsia="Arial" w:hAnsi="Arial"/>
          <w:b w:val="false"/>
          <w:bCs w:val="false"/>
          <w:i w:val="false"/>
          <w:iCs w:val="false"/>
          <w:color w:val="1A1A1A"/>
          <w:sz w:val="20"/>
          <w:szCs w:val="20"/>
        </w:rPr>
        <w:t xml:space="preserve">Mark Parker’s cumulative stock dispositions across four fiscal years now exceed $420 million: ~$78M (FY2019), ~$37.3M (FY2020), ~$125M (FY2021), and ~$81.7M (FY2022). Throughout this entire period, he simultaneously served as a Swoosh LLC Independent Director with governance authority over the entity controlling Nike’s shareholder vote.</w:t>
      </w:r>
    </w:p>
    <w:p>
      <w:pPr>
        <w:spacing w:before="0" w:after="110"/>
      </w:pPr>
      <w:r>
        <w:rPr>
          <w:rFonts w:ascii="Arial" w:cs="Arial" w:eastAsia="Arial" w:hAnsi="Arial"/>
          <w:b w:val="false"/>
          <w:bCs w:val="false"/>
          <w:i w:val="false"/>
          <w:iCs w:val="false"/>
          <w:color w:val="1A1A1A"/>
          <w:sz w:val="20"/>
          <w:szCs w:val="20"/>
        </w:rPr>
        <w:t xml:space="preserve">The FY2022 selling is particularly notable because it occurred near Nike’s all-time high ($179) while the SEC was publicly proposing 10b5-1 reforms targeting exactly the type of undisclosed trading plans that governed Parker’s dispositions. Parker’s post-April-2023 Form 4 filings retroactively confirm he routinely uses 10b5-1 plans adopted in November annually — meaning the plans governing his FY2022 sales were almost certainly adopted in November 2020 (for calendar 2021 trades) and November 2021 (for calendar 2022 trades). But during FY2022 itself, investors had zero visibility into this framework.</w:t>
      </w:r>
    </w:p>
    <w:p>
      <w:pPr>
        <w:spacing w:before="0" w:after="110"/>
      </w:pPr>
      <w:r>
        <w:rPr>
          <w:rFonts w:ascii="Arial" w:cs="Arial" w:eastAsia="Arial" w:hAnsi="Arial"/>
          <w:b w:val="false"/>
          <w:bCs w:val="false"/>
          <w:i w:val="false"/>
          <w:iCs w:val="false"/>
          <w:color w:val="1A1A1A"/>
          <w:sz w:val="20"/>
          <w:szCs w:val="20"/>
        </w:rPr>
        <w:t xml:space="preserve">The 25:1 ratio between Parker’s Form 4 dispositions ($81.7M) and his proxy-reported compensation ($3.3M) illustrates a structural disclosure gap: the proxy’s Summary Compensation Table captures Parker’s compensation from Nike’s perspective, but the far larger economic story — his $81.7M in equity monetization — is visible only through individual Form 4 filings that provide no governance context.</w:t>
      </w:r>
    </w:p>
    <w:p>
      <w:pPr>
        <w:pStyle w:val="Heading1"/>
      </w:pPr>
      <w:r>
        <w:t xml:space="preserve">FY2022 Filing-by-Filing Swoosh Content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360"/>
      </w:tblGrid>
      <w:tr>
        <w:tc>
          <w:tcPr>
            <w:tcW w:type="dxa" w:w="120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FILING</w:t>
            </w:r>
          </w:p>
        </w:tc>
        <w:tc>
          <w:tcPr>
            <w:tcW w:type="dxa" w:w="160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ACCESSION</w:t>
            </w:r>
          </w:p>
        </w:tc>
        <w:tc>
          <w:tcPr>
            <w:tcW w:type="dxa" w:w="220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SWOOSH CONTENT</w:t>
            </w:r>
          </w:p>
        </w:tc>
        <w:tc>
          <w:tcPr>
            <w:tcW w:type="dxa" w:w="436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FORENSIC SIGNIFICANCE</w:t>
            </w:r>
          </w:p>
        </w:tc>
      </w:tr>
      <w:tr>
        <w:tc>
          <w:tcPr>
            <w:tcW w:type="dxa" w:w="1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10-K</w:t>
            </w:r>
          </w:p>
        </w:tc>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0000320187-22-000038</w:t>
            </w:r>
          </w:p>
        </w:tc>
        <w:tc>
          <w:tcPr>
            <w:tcW w:type="dxa" w:w="2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B91C1C"/>
                <w:sz w:val="14"/>
                <w:szCs w:val="14"/>
              </w:rPr>
              <w:t xml:space="preserve">ZERO</w:t>
            </w:r>
          </w:p>
        </w:tc>
        <w:tc>
          <w:tcPr>
            <w:tcW w:type="dxa" w:w="436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30+ risk factors; ZERO on dual-class. No Exhibit 19. Part III deferred. NFT/Russia/inflation risk factors added — governance still excluded</w:t>
            </w:r>
          </w:p>
        </w:tc>
      </w:tr>
      <w:tr>
        <w:tc>
          <w:tcPr>
            <w:tcW w:type="dxa" w:w="1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10-Q (x3)</w:t>
            </w:r>
          </w:p>
        </w:tc>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Three quarterly filings</w:t>
            </w:r>
          </w:p>
        </w:tc>
        <w:tc>
          <w:tcPr>
            <w:tcW w:type="dxa" w:w="2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B91C1C"/>
                <w:sz w:val="14"/>
                <w:szCs w:val="14"/>
              </w:rPr>
              <w:t xml:space="preserve">ZERO</w:t>
            </w:r>
          </w:p>
        </w:tc>
        <w:tc>
          <w:tcPr>
            <w:tcW w:type="dxa" w:w="436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Vietnam closures, Russia deconsolidation, inventory build — all disclosed. Swoosh governance: zero references</w:t>
            </w:r>
          </w:p>
        </w:tc>
      </w:tr>
      <w:tr>
        <w:tc>
          <w:tcPr>
            <w:tcW w:type="dxa" w:w="1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8-K (x10–12)</w:t>
            </w:r>
          </w:p>
        </w:tc>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Multiple accessions</w:t>
            </w:r>
          </w:p>
        </w:tc>
        <w:tc>
          <w:tcPr>
            <w:tcW w:type="dxa" w:w="2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B91C1C"/>
                <w:sz w:val="14"/>
                <w:szCs w:val="14"/>
              </w:rPr>
              <w:t xml:space="preserve">ZERO</w:t>
            </w:r>
          </w:p>
        </w:tc>
        <w:tc>
          <w:tcPr>
            <w:tcW w:type="dxa" w:w="436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Earnings, credit facility, director appointments. No Swoosh references. No Item 5.02 for Knight trust change</w:t>
            </w:r>
          </w:p>
        </w:tc>
      </w:tr>
      <w:tr>
        <w:tc>
          <w:tcPr>
            <w:tcW w:type="dxa" w:w="1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DEF 14A</w:t>
            </w:r>
          </w:p>
        </w:tc>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0000320187-22-000041</w:t>
            </w:r>
          </w:p>
        </w:tc>
        <w:tc>
          <w:tcPr>
            <w:tcW w:type="dxa" w:w="2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92400E"/>
                <w:sz w:val="14"/>
                <w:szCs w:val="14"/>
              </w:rPr>
              <w:t xml:space="preserve">MINIMAL</w:t>
            </w:r>
          </w:p>
        </w:tc>
        <w:tc>
          <w:tcPr>
            <w:tcW w:type="dxa" w:w="436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Knight bio mentions Swoosh. Parker/Donahoe/Graf bios: NO Swoosh. Trust restructuring NOT in RPT or governance sections</w:t>
            </w:r>
          </w:p>
        </w:tc>
      </w:tr>
      <w:tr>
        <w:tc>
          <w:tcPr>
            <w:tcW w:type="dxa" w:w="1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Form 4 (Parker)</w:t>
            </w:r>
          </w:p>
        </w:tc>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7 sale filings</w:t>
            </w:r>
          </w:p>
        </w:tc>
        <w:tc>
          <w:tcPr>
            <w:tcW w:type="dxa" w:w="2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B91C1C"/>
                <w:sz w:val="14"/>
                <w:szCs w:val="14"/>
              </w:rPr>
              <w:t xml:space="preserve">ZERO</w:t>
            </w:r>
          </w:p>
        </w:tc>
        <w:tc>
          <w:tcPr>
            <w:tcW w:type="dxa" w:w="436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$81.7M in sales. Zero 10b5-1 footnotes. Zero Swoosh governance references</w:t>
            </w:r>
          </w:p>
        </w:tc>
      </w:tr>
      <w:tr>
        <w:tc>
          <w:tcPr>
            <w:tcW w:type="dxa" w:w="1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Form 4 (Knight)</w:t>
            </w:r>
          </w:p>
        </w:tc>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0001127602-22-010957</w:t>
            </w:r>
          </w:p>
        </w:tc>
        <w:tc>
          <w:tcPr>
            <w:tcW w:type="dxa" w:w="2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065F46"/>
                <w:sz w:val="14"/>
                <w:szCs w:val="14"/>
              </w:rPr>
              <w:t xml:space="preserve">FULL — SOLE SOURCE</w:t>
            </w:r>
          </w:p>
        </w:tc>
        <w:tc>
          <w:tcPr>
            <w:tcW w:type="dxa" w:w="436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Trust restructuring + company agreement amendment. THIS IS THE ONLY PUBLIC RECORD of the control chain change</w:t>
            </w:r>
          </w:p>
        </w:tc>
      </w:tr>
      <w:tr>
        <w:tc>
          <w:tcPr>
            <w:tcW w:type="dxa" w:w="1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SC 13D</w:t>
            </w:r>
          </w:p>
        </w:tc>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0000897423-15-000038</w:t>
            </w:r>
          </w:p>
        </w:tc>
        <w:tc>
          <w:tcPr>
            <w:tcW w:type="dxa" w:w="2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B91C1C"/>
                <w:sz w:val="14"/>
                <w:szCs w:val="14"/>
              </w:rPr>
              <w:t xml:space="preserve">STALE (6 YRS)</w:t>
            </w:r>
          </w:p>
        </w:tc>
        <w:tc>
          <w:tcPr>
            <w:tcW w:type="dxa" w:w="436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Now factually inaccurate re: trustee identity. No amendment filed despite trust restructuring and company agreement change</w:t>
            </w:r>
          </w:p>
        </w:tc>
      </w:tr>
      <w:tr>
        <w:tc>
          <w:tcPr>
            <w:tcW w:type="dxa" w:w="1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CORRESP</w:t>
            </w:r>
          </w:p>
        </w:tc>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Last: ~2009</w:t>
            </w:r>
          </w:p>
        </w:tc>
        <w:tc>
          <w:tcPr>
            <w:tcW w:type="dxa" w:w="2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B91C1C"/>
                <w:sz w:val="14"/>
                <w:szCs w:val="14"/>
              </w:rPr>
              <w:t xml:space="preserve">ZERO</w:t>
            </w:r>
          </w:p>
        </w:tc>
        <w:tc>
          <w:tcPr>
            <w:tcW w:type="dxa" w:w="436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13-year gap. No SEC review of any Swoosh disclosure or trust restructuring</w:t>
            </w:r>
          </w:p>
        </w:tc>
      </w:tr>
      <w:tr>
        <w:tc>
          <w:tcPr>
            <w:tcW w:type="dxa" w:w="1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13G (Vanguard)</w:t>
            </w:r>
          </w:p>
        </w:tc>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Annual 13G/A</w:t>
            </w:r>
          </w:p>
        </w:tc>
        <w:tc>
          <w:tcPr>
            <w:tcW w:type="dxa" w:w="22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92400E"/>
                <w:sz w:val="14"/>
                <w:szCs w:val="14"/>
              </w:rPr>
              <w:t xml:space="preserve">N/A</w:t>
            </w:r>
          </w:p>
        </w:tc>
        <w:tc>
          <w:tcPr>
            <w:tcW w:type="dxa" w:w="436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~7–9% Class B. No Swoosh governance visibility for institutional holders</w:t>
            </w:r>
          </w:p>
        </w:tc>
      </w:tr>
    </w:tbl>
    <w:p>
      <w:r>
        <w:br w:type="page"/>
      </w:r>
    </w:p>
    <w:p>
      <w:pPr>
        <w:pStyle w:val="Heading1"/>
      </w:pPr>
      <w:r>
        <w:t xml:space="preserve">Graf’s 20-Year Board Tenure: Structural Conflict Now Spans Two Decades</w:t>
      </w:r>
    </w:p>
    <w:p>
      <w:pPr>
        <w:spacing w:before="0" w:after="110"/>
      </w:pPr>
      <w:r>
        <w:rPr>
          <w:rFonts w:ascii="Arial" w:cs="Arial" w:eastAsia="Arial" w:hAnsi="Arial"/>
          <w:b w:val="false"/>
          <w:bCs w:val="false"/>
          <w:i w:val="false"/>
          <w:iCs w:val="false"/>
          <w:color w:val="1A1A1A"/>
          <w:sz w:val="20"/>
          <w:szCs w:val="20"/>
        </w:rPr>
        <w:t xml:space="preserve">Alan B. Graf Jr. joined Nike’s board in 2002 and has served continuously for 20 years as of FY2022. He has chaired the Audit &amp; Finance Committee for approximately 18 of those years. During FY2022, the committee met 9 times, overseeing: Vietnam factory closure accounting impact, Russia deconsolidation charges (~$150M), inventory buildup to $9.0B, $46.7B in revenue, and PricewaterhouseCoopers’ integrated audit.</w:t>
      </w:r>
    </w:p>
    <w:p>
      <w:pPr>
        <w:spacing w:before="0" w:after="110"/>
      </w:pPr>
      <w:r>
        <w:rPr>
          <w:rFonts w:ascii="Arial" w:cs="Arial" w:eastAsia="Arial" w:hAnsi="Arial"/>
          <w:b w:val="false"/>
          <w:bCs w:val="false"/>
          <w:i w:val="false"/>
          <w:iCs w:val="false"/>
          <w:color w:val="1A1A1A"/>
          <w:sz w:val="20"/>
          <w:szCs w:val="20"/>
        </w:rPr>
        <w:t xml:space="preserve">Graf’s simultaneous Swoosh LLC directorship — where he serves alongside the CEO and Executive Chairman he audits — has never been disclosed in any proxy independence analysis, committee charter, or 10-K filing. Nike’s mandatory retirement age is 72; Graf was approximately 68 in FY2022, giving him ~4 more years of eligibility. No term limit policy exists. The combination of 20-year tenure, Audit Committee chairmanship, and undisclosed Swoosh cross-directorship represents the most concentrated governance conflict in the entire Nike filing corpus.</w:t>
      </w:r>
    </w:p>
    <w:p>
      <w:pPr>
        <w:pStyle w:val="Heading1"/>
      </w:pPr>
      <w:r>
        <w:t xml:space="preserve">Recommendations — FY2022-Specific Escalations</w:t>
      </w:r>
    </w:p>
    <w:p>
      <w:pPr>
        <w:pStyle w:val="Heading2"/>
      </w:pPr>
      <w:r>
        <w:t xml:space="preserve">Tier 1: Immediate — Knight Trust Restructuring Alert</w:t>
      </w:r>
    </w:p>
    <w:p>
      <w:pPr>
        <w:spacing w:before="0" w:after="110"/>
      </w:pPr>
      <w:r>
        <w:rPr>
          <w:rFonts w:ascii="Arial" w:cs="Arial" w:eastAsia="Arial" w:hAnsi="Arial"/>
          <w:b w:val="false"/>
          <w:bCs w:val="false"/>
          <w:i w:val="false"/>
          <w:iCs w:val="false"/>
          <w:color w:val="1A1A1A"/>
          <w:sz w:val="20"/>
          <w:szCs w:val="20"/>
        </w:rPr>
        <w:t xml:space="preserve">Update Nike’s ISS governance profile to reflect the March 31, 2022 trust restructuring. Note that Travis Knight resigned as trustee of the trust controlling Swoosh X Holdings but retained Class X voting authority through a company agreement amendment. Flag that this information exists ONLY in a Form 4 footnote — not in the proxy, 13D, or any other filing type. Recommend that ISS develop a systematic process for reviewing Form 4 footnotes for governance-relevant information at dual-class companies.</w:t>
      </w:r>
    </w:p>
    <w:p>
      <w:pPr>
        <w:pStyle w:val="Heading2"/>
      </w:pPr>
      <w:r>
        <w:t xml:space="preserve">Tier 2: QualityScore Impact Assessment</w:t>
      </w:r>
    </w:p>
    <w:p>
      <w:pPr>
        <w:spacing w:before="0" w:after="110"/>
      </w:pPr>
      <w:r>
        <w:rPr>
          <w:rFonts w:ascii="Arial" w:cs="Arial" w:eastAsia="Arial" w:hAnsi="Arial"/>
          <w:b w:val="false"/>
          <w:bCs w:val="false"/>
          <w:i w:val="false"/>
          <w:iCs w:val="false"/>
          <w:color w:val="1A1A1A"/>
          <w:sz w:val="20"/>
          <w:szCs w:val="20"/>
        </w:rPr>
        <w:t xml:space="preserve">The FY2022 corpus surfaces five distinct governance dimensions invisible to QualityScore: (a) 6-year-stale 13D now factually inaccurate post-trust-restructuring; (b) company agreement amendment disclosed only in Form 4; (c) 10-K risk factors exclude dual-class governance despite adding Russia/Ukraine, NFT, and inflation risks; (d) 13-year SEC correspondence vacuum; (e) securities fraud class period overlap. Quantify the potential QualityScore Board Structure pillar impact if these were incorporated.</w:t>
      </w:r>
    </w:p>
    <w:p>
      <w:pPr>
        <w:pStyle w:val="Heading2"/>
      </w:pPr>
      <w:r>
        <w:t xml:space="preserve">Tier 3: Engagement with Nike + Jasper Ridge Partners</w:t>
      </w:r>
    </w:p>
    <w:p>
      <w:pPr>
        <w:spacing w:before="0" w:after="110"/>
      </w:pPr>
      <w:r>
        <w:rPr>
          <w:rFonts w:ascii="Arial" w:cs="Arial" w:eastAsia="Arial" w:hAnsi="Arial"/>
          <w:b w:val="false"/>
          <w:bCs w:val="false"/>
          <w:i w:val="false"/>
          <w:iCs w:val="false"/>
          <w:color w:val="1A1A1A"/>
          <w:sz w:val="20"/>
          <w:szCs w:val="20"/>
        </w:rPr>
        <w:t xml:space="preserve">Expand engagement beyond Nike’s corporate secretary to include Jasper Ridge Partners (Mark Wolfson) and Quixote Investments (Rodolfo Chapa) — the two Swoosh LLC Protectors who hold removal authority over Independent Directors. Determine: (a) whether the Protectors were consulted on the trust restructuring; (b) current Swoosh board composition; (c) whether any 13D amendment is planned; (d) the operational effect of the company agreement amendment on Swoosh governance; (e) Graf’s planned retirement timeline.</w:t>
      </w:r>
    </w:p>
    <w:p>
      <w:pPr>
        <w:pStyle w:val="Heading2"/>
      </w:pPr>
      <w:r>
        <w:t xml:space="preserve">Tier 4: Securities Fraud Litigation Monitoring</w:t>
      </w:r>
    </w:p>
    <w:p>
      <w:pPr>
        <w:spacing w:before="0" w:after="110"/>
      </w:pPr>
      <w:r>
        <w:rPr>
          <w:rFonts w:ascii="Arial" w:cs="Arial" w:eastAsia="Arial" w:hAnsi="Arial"/>
          <w:b w:val="false"/>
          <w:bCs w:val="false"/>
          <w:i w:val="false"/>
          <w:iCs w:val="false"/>
          <w:color w:val="1A1A1A"/>
          <w:sz w:val="20"/>
          <w:szCs w:val="20"/>
        </w:rPr>
        <w:t xml:space="preserve">The pending In Re Nike, Inc. Securities Litigation (D. Or., No. 24-cv-010974) may produce through discovery insider trading plan documents, internal communications about disclosure decisions, and Swoosh governance records otherwise inaccessible. ISS should monitor this litigation for governance-relevant revelations and update Nike’s profile as new information emerges from court filings.</w:t>
      </w:r>
    </w:p>
    <w:p>
      <w:r>
        <w:br w:type="page"/>
      </w:r>
    </w:p>
    <w:p>
      <w:pPr>
        <w:pStyle w:val="Heading1"/>
      </w:pPr>
      <w:r>
        <w:t xml:space="preserve">Appendix: Four-Year Swoosh Governance Trajectory (FY2019–FY2022)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c>
          <w:tcPr>
            <w:tcW w:type="dxa" w:w="160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METRIC</w:t>
            </w:r>
          </w:p>
        </w:tc>
        <w:tc>
          <w:tcPr>
            <w:tcW w:type="dxa" w:w="194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FY2019</w:t>
            </w:r>
          </w:p>
        </w:tc>
        <w:tc>
          <w:tcPr>
            <w:tcW w:type="dxa" w:w="194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FY2020</w:t>
            </w:r>
          </w:p>
        </w:tc>
        <w:tc>
          <w:tcPr>
            <w:tcW w:type="dxa" w:w="194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FY2021</w:t>
            </w:r>
          </w:p>
        </w:tc>
        <w:tc>
          <w:tcPr>
            <w:tcW w:type="dxa" w:w="1940"/>
            <w:tcBorders>
              <w:top w:val="single" w:color="AAAAAA" w:sz="1"/>
              <w:left w:val="single" w:color="AAAAAA" w:sz="1"/>
              <w:bottom w:val="single" w:color="AAAAAA" w:sz="1"/>
              <w:right w:val="single" w:color="AAAAAA" w:sz="1"/>
            </w:tcBorders>
            <w:shd w:fill="0B2545" w:val="clear"/>
            <w:tcMar>
              <w:top w:type="dxa" w:w="45"/>
              <w:left w:type="dxa" w:w="80"/>
              <w:bottom w:type="dxa" w:w="45"/>
              <w:right w:type="dxa" w:w="80"/>
            </w:tcMar>
          </w:tcPr>
          <w:p>
            <w:r>
              <w:rPr>
                <w:rFonts w:ascii="Arial" w:cs="Arial" w:eastAsia="Arial" w:hAnsi="Arial"/>
                <w:b/>
                <w:bCs/>
                <w:color w:val="FFFFFF"/>
                <w:sz w:val="14"/>
                <w:szCs w:val="14"/>
              </w:rPr>
              <w:t xml:space="preserve">FY2022</w:t>
            </w:r>
          </w:p>
        </w:tc>
      </w:tr>
      <w:tr>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Swoosh board config</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 insider + 2 independent</w:t>
            </w:r>
          </w:p>
        </w:tc>
        <w:tc>
          <w:tcPr>
            <w:tcW w:type="dxa" w:w="1940"/>
            <w:tcBorders>
              <w:top w:val="single" w:color="AAAAAA" w:sz="1"/>
              <w:left w:val="single" w:color="AAAAAA" w:sz="1"/>
              <w:bottom w:val="single" w:color="AAAAAA" w:sz="1"/>
              <w:right w:val="single" w:color="AAAAAA" w:sz="1"/>
            </w:tcBorders>
            <w:shd w:fill="FDE8E8" w:val="clear"/>
            <w:tcMar>
              <w:top w:type="dxa" w:w="45"/>
              <w:left w:type="dxa" w:w="80"/>
              <w:bottom w:type="dxa" w:w="45"/>
              <w:right w:type="dxa" w:w="80"/>
            </w:tcMar>
          </w:tcPr>
          <w:p>
            <w:r>
              <w:rPr>
                <w:rFonts w:ascii="Arial" w:cs="Arial" w:eastAsia="Arial" w:hAnsi="Arial"/>
                <w:b w:val="false"/>
                <w:bCs w:val="false"/>
                <w:color w:val="1A1A1A"/>
                <w:sz w:val="14"/>
                <w:szCs w:val="14"/>
              </w:rPr>
              <w:t xml:space="preserve">Triple-insider (Jan 2020)</w:t>
            </w:r>
          </w:p>
        </w:tc>
        <w:tc>
          <w:tcPr>
            <w:tcW w:type="dxa" w:w="1940"/>
            <w:tcBorders>
              <w:top w:val="single" w:color="AAAAAA" w:sz="1"/>
              <w:left w:val="single" w:color="AAAAAA" w:sz="1"/>
              <w:bottom w:val="single" w:color="AAAAAA" w:sz="1"/>
              <w:right w:val="single" w:color="AAAAAA" w:sz="1"/>
            </w:tcBorders>
            <w:shd w:fill="FDE8E8" w:val="clear"/>
            <w:tcMar>
              <w:top w:type="dxa" w:w="45"/>
              <w:left w:type="dxa" w:w="80"/>
              <w:bottom w:type="dxa" w:w="45"/>
              <w:right w:type="dxa" w:w="80"/>
            </w:tcMar>
          </w:tcPr>
          <w:p>
            <w:r>
              <w:rPr>
                <w:rFonts w:ascii="Arial" w:cs="Arial" w:eastAsia="Arial" w:hAnsi="Arial"/>
                <w:b w:val="false"/>
                <w:bCs w:val="false"/>
                <w:color w:val="1A1A1A"/>
                <w:sz w:val="14"/>
                <w:szCs w:val="14"/>
              </w:rPr>
              <w:t xml:space="preserve">Triple-insider full year</w:t>
            </w:r>
          </w:p>
        </w:tc>
        <w:tc>
          <w:tcPr>
            <w:tcW w:type="dxa" w:w="1940"/>
            <w:tcBorders>
              <w:top w:val="single" w:color="AAAAAA" w:sz="1"/>
              <w:left w:val="single" w:color="AAAAAA" w:sz="1"/>
              <w:bottom w:val="single" w:color="AAAAAA" w:sz="1"/>
              <w:right w:val="single" w:color="AAAAAA" w:sz="1"/>
            </w:tcBorders>
            <w:shd w:fill="FDE8E8" w:val="clear"/>
            <w:tcMar>
              <w:top w:type="dxa" w:w="45"/>
              <w:left w:type="dxa" w:w="80"/>
              <w:bottom w:type="dxa" w:w="45"/>
              <w:right w:type="dxa" w:w="80"/>
            </w:tcMar>
          </w:tcPr>
          <w:p>
            <w:r>
              <w:rPr>
                <w:rFonts w:ascii="Arial" w:cs="Arial" w:eastAsia="Arial" w:hAnsi="Arial"/>
                <w:b w:val="false"/>
                <w:bCs w:val="false"/>
                <w:color w:val="1A1A1A"/>
                <w:sz w:val="14"/>
                <w:szCs w:val="14"/>
              </w:rPr>
              <w:t xml:space="preserve">Triple-insider + trust restructuring</w:t>
            </w:r>
          </w:p>
        </w:tc>
      </w:tr>
      <w:tr>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13D staleness</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3 years</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4 years</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5 years</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B91C1C"/>
                <w:sz w:val="14"/>
                <w:szCs w:val="14"/>
              </w:rPr>
              <w:t xml:space="preserve">6 years — now factually inaccurate</w:t>
            </w:r>
          </w:p>
        </w:tc>
      </w:tr>
      <w:tr>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Proxy Swoosh disclosure</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Knight bio only</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Knight bio only</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Knight bio only</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B91C1C"/>
                <w:sz w:val="14"/>
                <w:szCs w:val="14"/>
              </w:rPr>
              <w:t xml:space="preserve">Knight bio only. Trust restructuring NOT disclosed</w:t>
            </w:r>
          </w:p>
        </w:tc>
      </w:tr>
      <w:tr>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Parker sales ($)</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~$78M</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~$37.3M</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~$125M</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~$81.7M ($420M+ cumulative)</w:t>
            </w:r>
          </w:p>
        </w:tc>
      </w:tr>
      <w:tr>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10b5-1 disclosure</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ZERO</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ZERO</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ZERO</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B91C1C"/>
                <w:sz w:val="14"/>
                <w:szCs w:val="14"/>
              </w:rPr>
              <w:t xml:space="preserve">ZERO (4th consecutive year)</w:t>
            </w:r>
          </w:p>
        </w:tc>
      </w:tr>
      <w:tr>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§16(a) section</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Omitted (FAST Act)</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Omitted (FAST Act)</w:t>
            </w:r>
          </w:p>
        </w:tc>
        <w:tc>
          <w:tcPr>
            <w:tcW w:type="dxa" w:w="1940"/>
            <w:tcBorders>
              <w:top w:val="single" w:color="AAAAAA" w:sz="1"/>
              <w:left w:val="single" w:color="AAAAAA" w:sz="1"/>
              <w:bottom w:val="single" w:color="AAAAAA" w:sz="1"/>
              <w:right w:val="single" w:color="AAAAAA" w:sz="1"/>
            </w:tcBorders>
            <w:shd w:fill="FEF3C7" w:val="clear"/>
            <w:tcMar>
              <w:top w:type="dxa" w:w="45"/>
              <w:left w:type="dxa" w:w="80"/>
              <w:bottom w:type="dxa" w:w="45"/>
              <w:right w:type="dxa" w:w="80"/>
            </w:tcMar>
          </w:tcPr>
          <w:p>
            <w:r>
              <w:rPr>
                <w:rFonts w:ascii="Arial" w:cs="Arial" w:eastAsia="Arial" w:hAnsi="Arial"/>
                <w:b w:val="false"/>
                <w:bCs w:val="false"/>
                <w:color w:val="1A1A1A"/>
                <w:sz w:val="14"/>
                <w:szCs w:val="14"/>
              </w:rPr>
              <w:t xml:space="preserve">RESTORED (delinquencies)</w:t>
            </w:r>
          </w:p>
        </w:tc>
        <w:tc>
          <w:tcPr>
            <w:tcW w:type="dxa" w:w="1940"/>
            <w:tcBorders>
              <w:top w:val="single" w:color="AAAAAA" w:sz="1"/>
              <w:left w:val="single" w:color="AAAAAA" w:sz="1"/>
              <w:bottom w:val="single" w:color="AAAAAA" w:sz="1"/>
              <w:right w:val="single" w:color="AAAAAA" w:sz="1"/>
            </w:tcBorders>
            <w:shd w:fill="FEF3C7" w:val="clear"/>
            <w:tcMar>
              <w:top w:type="dxa" w:w="45"/>
              <w:left w:type="dxa" w:w="80"/>
              <w:bottom w:type="dxa" w:w="45"/>
              <w:right w:type="dxa" w:w="80"/>
            </w:tcMar>
          </w:tcPr>
          <w:p>
            <w:r>
              <w:rPr>
                <w:rFonts w:ascii="Arial" w:cs="Arial" w:eastAsia="Arial" w:hAnsi="Arial"/>
                <w:b w:val="false"/>
                <w:bCs w:val="false"/>
                <w:color w:val="1A1A1A"/>
                <w:sz w:val="14"/>
                <w:szCs w:val="14"/>
              </w:rPr>
              <w:t xml:space="preserve">DROPPED (1-year disappearance)</w:t>
            </w:r>
          </w:p>
        </w:tc>
      </w:tr>
      <w:tr>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SEC correspondence</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10-year gap</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11-year gap</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12-year gap</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B91C1C"/>
                <w:sz w:val="14"/>
                <w:szCs w:val="14"/>
              </w:rPr>
              <w:t xml:space="preserve">13-year gap</w:t>
            </w:r>
          </w:p>
        </w:tc>
      </w:tr>
      <w:tr>
        <w:tc>
          <w:tcPr>
            <w:tcW w:type="dxa" w:w="160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NEW anomalies</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Parker blackout trade; gift cluster</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Store closures no 8-K; separation agreements unfiled; underwriter-lender conflict</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val="false"/>
                <w:bCs w:val="false"/>
                <w:color w:val="1A1A1A"/>
                <w:sz w:val="14"/>
                <w:szCs w:val="14"/>
              </w:rPr>
              <w:t xml:space="preserve">§16(a) restoration; say-on-pay 54% backlash</w:t>
            </w:r>
          </w:p>
        </w:tc>
        <w:tc>
          <w:tcPr>
            <w:tcW w:type="dxa" w:w="1940"/>
            <w:tcBorders>
              <w:top w:val="single" w:color="AAAAAA" w:sz="1"/>
              <w:left w:val="single" w:color="AAAAAA" w:sz="1"/>
              <w:bottom w:val="single" w:color="AAAAAA" w:sz="1"/>
              <w:right w:val="single" w:color="AAAAAA" w:sz="1"/>
            </w:tcBorders>
            <w:tcMar>
              <w:top w:type="dxa" w:w="45"/>
              <w:left w:type="dxa" w:w="80"/>
              <w:bottom w:type="dxa" w:w="45"/>
              <w:right w:type="dxa" w:w="80"/>
            </w:tcMar>
          </w:tcPr>
          <w:p>
            <w:r>
              <w:rPr>
                <w:rFonts w:ascii="Arial" w:cs="Arial" w:eastAsia="Arial" w:hAnsi="Arial"/>
                <w:b/>
                <w:bCs/>
                <w:color w:val="1A1A1A"/>
                <w:sz w:val="14"/>
                <w:szCs w:val="14"/>
              </w:rPr>
              <w:t xml:space="preserve">Trust restructuring; ATH selling; SEC proposal non-response; securities fraud overlap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2"/>
        <w:szCs w:val="12"/>
      </w:rPr>
      <w:t xml:space="preserve">Nike Inc. (NKE) — Swoosh LLC Full-Corpus Analysis FY2022</w:t>
    </w:r>
    <w:r>
      <w:rPr>
        <w:rFonts w:ascii="Arial" w:cs="Arial" w:eastAsia="Arial" w:hAnsi="Arial"/>
        <w:color w:val="999999"/>
        <w:sz w:val="12"/>
        <w:szCs w:val="12"/>
      </w:rPr>
      <w:ptab w:alignment="right" w:relativeTo="margin" w:leader="none"/>
    </w:r>
    <w:r>
      <w:rPr>
        <w:rFonts w:ascii="Arial" w:cs="Arial" w:eastAsia="Arial" w:hAnsi="Arial"/>
        <w:color w:val="999999"/>
        <w:sz w:val="12"/>
        <w:szCs w:val="12"/>
      </w:rPr>
      <w:t xml:space="preserve">Page </w:t>
    </w:r>
    <w:r>
      <w:rPr>
        <w:rFonts w:ascii="Arial" w:cs="Arial" w:eastAsia="Arial" w:hAnsi="Arial"/>
        <w:color w:val="999999"/>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4" w:space="4"/>
      </w:pBdr>
    </w:pPr>
    <w:r>
      <w:rPr>
        <w:rFonts w:ascii="Arial" w:cs="Arial" w:eastAsia="Arial" w:hAnsi="Arial"/>
        <w:b/>
        <w:bCs/>
        <w:color w:val="0B2545"/>
        <w:sz w:val="13"/>
        <w:szCs w:val="13"/>
      </w:rPr>
      <w:t xml:space="preserve">ISS GOVERNANCE ALERT  |  FULL-CORPUS EDGAR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B2545"/>
      <w:sz w:val="26"/>
      <w:szCs w:val="26"/>
    </w:rPr>
  </w:style>
  <w:style w:type="paragraph" w:styleId="Heading2">
    <w:name w:val="Heading 2"/>
    <w:basedOn w:val="Normal"/>
    <w:next w:val="Normal"/>
    <w:qFormat/>
    <w:pPr>
      <w:spacing w:before="240" w:after="130"/>
      <w:outlineLvl w:val="1"/>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2026-03-10T15:23:03.741Z</dcterms:created>
  <dcterms:modified xsi:type="dcterms:W3CDTF">2026-03-10T15:23:03.742Z</dcterms:modified>
</cp:coreProperties>
</file>

<file path=docProps/custom.xml><?xml version="1.0" encoding="utf-8"?>
<Properties xmlns="http://schemas.openxmlformats.org/officeDocument/2006/custom-properties" xmlns:vt="http://schemas.openxmlformats.org/officeDocument/2006/docPropsVTypes"/>
</file>