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40"/>
        <w:jc w:val="center"/>
      </w:pPr>
      <w:r>
        <w:rPr>
          <w:rFonts w:ascii="Arial" w:cs="Arial" w:eastAsia="Arial" w:hAnsi="Arial"/>
          <w:b/>
          <w:bCs/>
          <w:color w:val="0F1B2D"/>
          <w:sz w:val="42"/>
          <w:szCs w:val="42"/>
        </w:rPr>
        <w:t xml:space="preserve">FULL-CORPUS EVIDENCE BUNDLE</w:t>
      </w:r>
    </w:p>
    <w:p>
      <w:pPr>
        <w:spacing w:after="20"/>
        <w:jc w:val="center"/>
      </w:pPr>
      <w:r>
        <w:rPr>
          <w:rFonts w:ascii="Arial" w:cs="Arial" w:eastAsia="Arial" w:hAnsi="Arial"/>
          <w:color w:val="4B5563"/>
          <w:sz w:val="24"/>
          <w:szCs w:val="24"/>
        </w:rPr>
        <w:t xml:space="preserve">SEC DIVISION OF ENFORCEMENT</w:t>
      </w:r>
    </w:p>
    <w:p>
      <w:pPr>
        <w:spacing w:after="100"/>
        <w:jc w:val="center"/>
      </w:pPr>
      <w:r>
        <w:rPr>
          <w:rFonts w:ascii="Arial" w:cs="Arial" w:eastAsia="Arial" w:hAnsi="Arial"/>
          <w:b/>
          <w:bCs/>
          <w:color w:val="B91C1C"/>
          <w:sz w:val="20"/>
          <w:szCs w:val="20"/>
        </w:rPr>
        <w:t xml:space="preserve">12-Category EDGAR Filing Audit — Fiscal Year 2022</w:t>
      </w:r>
    </w:p>
    <w:p>
      <w:pPr>
        <w:pBdr>
          <w:top w:val="single" w:color="0F1B2D" w:sz="4" w:space="6"/>
          <w:bottom w:val="single" w:color="0F1B2D" w:sz="4" w:space="6"/>
        </w:pBdr>
        <w:spacing w:before="120" w:after="120"/>
        <w:jc w:val="center"/>
      </w:pPr>
      <w:r>
        <w:rPr>
          <w:rFonts w:ascii="Arial" w:cs="Arial" w:eastAsia="Arial" w:hAnsi="Arial"/>
          <w:b/>
          <w:bCs/>
          <w:color w:val="0F1B2D"/>
          <w:sz w:val="32"/>
          <w:szCs w:val="32"/>
        </w:rPr>
        <w:t xml:space="preserve">NIKE, INC. (NKE) — CIK 0000320187</w:t>
      </w:r>
    </w:p>
    <w:p>
      <w:pPr>
        <w:spacing w:after="20"/>
        <w:jc w:val="center"/>
      </w:pPr>
      <w:r>
        <w:rPr>
          <w:rFonts w:ascii="Arial" w:cs="Arial" w:eastAsia="Arial" w:hAnsi="Arial"/>
          <w:color w:val="4B5563"/>
          <w:sz w:val="18"/>
          <w:szCs w:val="18"/>
        </w:rPr>
        <w:t xml:space="preserve">Fiscal Year: June 1, 2021 – May 31, 2022 | Prepared: March 10, 2026</w:t>
      </w:r>
    </w:p>
    <w:p>
      <w:pPr>
        <w:spacing w:after="180"/>
        <w:jc w:val="center"/>
      </w:pPr>
      <w:r>
        <w:rPr>
          <w:rFonts w:ascii="Arial" w:cs="Arial" w:eastAsia="Arial" w:hAnsi="Arial"/>
          <w:b/>
          <w:bCs/>
          <w:color w:val="B91C1C"/>
          <w:sz w:val="15"/>
          <w:szCs w:val="15"/>
        </w:rPr>
        <w:t xml:space="preserve">CLASSIFICATION: PRIVILEGED &amp; CONFIDENTIAL</w:t>
      </w:r>
    </w:p>
    <w:p>
      <w:r>
        <w:br w:type="page"/>
      </w:r>
    </w:p>
    <w:p>
      <w:pPr>
        <w:pStyle w:val="Heading1"/>
      </w:pPr>
      <w:r>
        <w:t xml:space="preserve">I. Executive Summary: Ten New FY2022-Specific Anomalies</w:t>
      </w:r>
    </w:p>
    <w:p>
      <w:pPr>
        <w:spacing w:before="0" w:after="110"/>
      </w:pPr>
      <w:r>
        <w:rPr>
          <w:rFonts w:ascii="Arial" w:cs="Arial" w:eastAsia="Arial" w:hAnsi="Arial"/>
          <w:b w:val="false"/>
          <w:bCs w:val="false"/>
          <w:i w:val="false"/>
          <w:iCs w:val="false"/>
          <w:color w:val="1A1A1A"/>
          <w:sz w:val="20"/>
          <w:szCs w:val="20"/>
        </w:rPr>
        <w:t xml:space="preserve">This evidence bundle presents findings from a ground-up audit of Nike’s complete FY2022 EDGAR filing corpus across 12 filing categories. Ten anomalies specific to FY2022 are identified, five of which are entirely new discoveries not present in prior fiscal year analyses:</w:t>
      </w:r>
    </w:p>
    <w:p>
      <w:pPr>
        <w:spacing w:before="0" w:after="110"/>
      </w:pPr>
      <w:r>
        <w:rPr>
          <w:rFonts w:ascii="Arial" w:cs="Arial" w:eastAsia="Arial" w:hAnsi="Arial"/>
          <w:b w:val="false"/>
          <w:bCs w:val="false"/>
          <w:i w:val="false"/>
          <w:iCs w:val="false"/>
          <w:color w:val="1A1A1A"/>
          <w:sz w:val="20"/>
          <w:szCs w:val="20"/>
        </w:rPr>
        <w:t xml:space="preserve">NEW FINDING 1 — Parker $81.7M at All-Time Highs with Zero 10b5-1: Parker sold approximately $81.7M in stock across seven transactions, with the most concentrated selling ($27.1M in two days) occurring as NKE approached its all-time high of $179.10 on November 5, 2021. Not one Form 4 filing referenced a 10b5-1 trading plan. This constitutes the fourth consecutive year of zero trading plan disclosure while cumulative insider selling crossed $420 million.</w:t>
      </w:r>
    </w:p>
    <w:p>
      <w:pPr>
        <w:spacing w:before="0" w:after="110"/>
      </w:pPr>
      <w:r>
        <w:rPr>
          <w:rFonts w:ascii="Arial" w:cs="Arial" w:eastAsia="Arial" w:hAnsi="Arial"/>
          <w:b w:val="false"/>
          <w:bCs w:val="false"/>
          <w:i w:val="false"/>
          <w:iCs w:val="false"/>
          <w:color w:val="1A1A1A"/>
          <w:sz w:val="20"/>
          <w:szCs w:val="20"/>
        </w:rPr>
        <w:t xml:space="preserve">NEW FINDING 2 — Travis Knight Trust Restructuring Without 13D Amendment: Travis Knight resigned as trustee of the 2009 Irrevocable Trust II on March 31, 2022, affecting reporting for ~41 million Class A shares. The Swoosh LLC company agreement was simultaneously amended to preserve Knight’s Class X voting rights. This structural change in the Knight family’s control pathway triggered no Schedule 13D/A amendment. The 13D is now 6 years stale.</w:t>
      </w:r>
    </w:p>
    <w:p>
      <w:pPr>
        <w:spacing w:before="0" w:after="110"/>
      </w:pPr>
      <w:r>
        <w:rPr>
          <w:rFonts w:ascii="Arial" w:cs="Arial" w:eastAsia="Arial" w:hAnsi="Arial"/>
          <w:b w:val="false"/>
          <w:bCs w:val="false"/>
          <w:i w:val="false"/>
          <w:iCs w:val="false"/>
          <w:color w:val="1A1A1A"/>
          <w:sz w:val="20"/>
          <w:szCs w:val="20"/>
        </w:rPr>
        <w:t xml:space="preserve">NEW FINDING 3 — Section 16(a) Delinquency One-Year Disappearance: The “Delinquent Section 16(A) Reports” section was restored in the FY2021 proxy (p.70), dropped entirely from the FY2022 proxy, then restored again in FY2023 (p.76). This one-year disappearance raises whether FY2022 delinquencies existed but were not disclosed, or whether the section was properly omitted for a clean compliance year.</w:t>
      </w:r>
    </w:p>
    <w:p>
      <w:pPr>
        <w:spacing w:before="0" w:after="110"/>
      </w:pPr>
      <w:r>
        <w:rPr>
          <w:rFonts w:ascii="Arial" w:cs="Arial" w:eastAsia="Arial" w:hAnsi="Arial"/>
          <w:b w:val="false"/>
          <w:bCs w:val="false"/>
          <w:i w:val="false"/>
          <w:iCs w:val="false"/>
          <w:color w:val="1A1A1A"/>
          <w:sz w:val="20"/>
          <w:szCs w:val="20"/>
        </w:rPr>
        <w:t xml:space="preserve">NEW FINDING 4 — Vietnam Factory Closures Without Standalone 8-K: COVID Delta lockdowns closed Vietnamese factories for ~10 weeks (July–September 2021), affecting ~50% of footwear production and cancelling 130 million units. This was disclosed only through the Q1 earnings cycle — no separate 8-K was filed despite the clear operational materiality.</w:t>
      </w:r>
    </w:p>
    <w:p>
      <w:pPr>
        <w:spacing w:before="0" w:after="110"/>
      </w:pPr>
      <w:r>
        <w:rPr>
          <w:rFonts w:ascii="Arial" w:cs="Arial" w:eastAsia="Arial" w:hAnsi="Arial"/>
          <w:b w:val="false"/>
          <w:bCs w:val="false"/>
          <w:i w:val="false"/>
          <w:iCs w:val="false"/>
          <w:color w:val="1A1A1A"/>
          <w:sz w:val="20"/>
          <w:szCs w:val="20"/>
        </w:rPr>
        <w:t xml:space="preserve">NEW FINDING 5 — SEC 10b5-1 Proposal Non-Response: Nike did not submit a comment letter on the SEC’s December 15, 2021 proposed 10b5-1 amendments (Release 34-93782, File No. S7-20-21). No Nike filing, earnings call, or proxy referenced the proposal. This silence from one of the S&amp;P 500’s most active insider-selling companies is conspicuous.</w:t>
      </w:r>
    </w:p>
    <w:p>
      <w:pPr>
        <w:spacing w:before="0" w:after="110"/>
      </w:pPr>
      <w:r>
        <w:rPr>
          <w:rFonts w:ascii="Arial" w:cs="Arial" w:eastAsia="Arial" w:hAnsi="Arial"/>
          <w:b w:val="false"/>
          <w:bCs w:val="false"/>
          <w:i w:val="false"/>
          <w:iCs w:val="false"/>
          <w:color w:val="1A1A1A"/>
          <w:sz w:val="20"/>
          <w:szCs w:val="20"/>
        </w:rPr>
        <w:t xml:space="preserve">PERSISTENT FINDINGS confirmed for the fourth consecutive year: (6) 10-K risk factors still exclude dual-class governance/Swoosh/ITP; (7) ITP invisible across entire EDGAR corpus; (8) Swoosh cross-directorship undisclosed in all proxy director biographies; (9) 13-year SEC comment letter vacuum; (10) Zero insider purchases across 4 years.</w:t>
      </w:r>
    </w:p>
    <w:p>
      <w:r>
        <w:br w:type="page"/>
      </w:r>
    </w:p>
    <w:p>
      <w:pPr>
        <w:pStyle w:val="Heading1"/>
      </w:pPr>
      <w:r>
        <w:t xml:space="preserve">II. Evidence Index — Complete FY2022 EDGAR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50"/>
        <w:gridCol w:w="900"/>
        <w:gridCol w:w="1100"/>
        <w:gridCol w:w="4350"/>
        <w:gridCol w:w="1780"/>
      </w:tblGrid>
      <w:tr>
        <w:tc>
          <w:tcPr>
            <w:tcW w:type="dxa" w:w="38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E#</w:t>
            </w:r>
          </w:p>
        </w:tc>
        <w:tc>
          <w:tcPr>
            <w:tcW w:type="dxa" w:w="85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TYPE</w:t>
            </w:r>
          </w:p>
        </w:tc>
        <w:tc>
          <w:tcPr>
            <w:tcW w:type="dxa" w:w="90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DATE</w:t>
            </w:r>
          </w:p>
        </w:tc>
        <w:tc>
          <w:tcPr>
            <w:tcW w:type="dxa" w:w="110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ACCESSION</w:t>
            </w:r>
          </w:p>
        </w:tc>
        <w:tc>
          <w:tcPr>
            <w:tcW w:type="dxa" w:w="435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DESCRIPTION / FORENSIC RELEVANCE</w:t>
            </w:r>
          </w:p>
        </w:tc>
        <w:tc>
          <w:tcPr>
            <w:tcW w:type="dxa" w:w="1780"/>
            <w:tcBorders>
              <w:top w:val="single" w:color="AAAAAA" w:sz="1"/>
              <w:left w:val="single" w:color="AAAAAA" w:sz="1"/>
              <w:bottom w:val="single" w:color="AAAAAA" w:sz="1"/>
              <w:right w:val="single" w:color="AAAAAA" w:sz="1"/>
            </w:tcBorders>
            <w:shd w:fill="0F1B2D" w:val="clear"/>
            <w:tcMar>
              <w:top w:type="dxa" w:w="45"/>
              <w:left w:type="dxa" w:w="80"/>
              <w:bottom w:type="dxa" w:w="45"/>
              <w:right w:type="dxa" w:w="80"/>
            </w:tcMar>
          </w:tcPr>
          <w:p>
            <w:r>
              <w:rPr>
                <w:rFonts w:ascii="Arial" w:cs="Arial" w:eastAsia="Arial" w:hAnsi="Arial"/>
                <w:b/>
                <w:bCs/>
                <w:color w:val="FFFFFF"/>
                <w:sz w:val="14"/>
                <w:szCs w:val="14"/>
              </w:rPr>
              <w:t xml:space="preserve">FINDING</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10-K</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7/21/22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0000320187-22-000038</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FY2022 annual report. 30+ risk factors: NEW Russia/Ukraine, NFT, inflation, hybrid work. STILL ZERO dual-class/ITP/§16. No Exhibit 19</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6,7</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E-2</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10-Q Q1</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~10/8/21</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0000320187-21-000045</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Q1 10-Q. Vietnam closures quantified. Revenue $12.2B. Zero ITP references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4</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E-3</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10-Q Q2</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~1/5/22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0000320187-22-000004</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Q2 10-Q. Inventory $7.6B (+15%). Zero ITP references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Baseline</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E-4</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10-Q Q3</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4/5/22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0000320187-22-000017</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Q3 10-Q. Russia deconsolidation. Inventory $9.0B. Zero ITP references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Baseline</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E-5</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DEF 14A</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7/21/22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0000320187-22-000041</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FY2022 proxy. §16(a) DROPPED (present FY2021, restored FY2023). Zero 10b5-1 (4th yr). Swoosh undisclosed. New ESG section</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1,3,7,8</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E-6</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Form 4</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Nov 2–3/21</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Parker filings</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Parker: 160K shares / $27.1M in 2 days at ATH zone. ZERO 10b5-1 footnotes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1</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E-7</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Form 4</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Multiple Parker</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Parker: 7 sales, ~520K shares, ~$81.7M total. Cumulative FY19–22: $420M+. All within open windows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1</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E-8</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Form 4</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4/1/22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0001127602-22-010957</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Travis Knight trust restructuring. ~41M Class A. Swoosh agreement amended. NO 13D/A FILED</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2</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E-9</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SC 13D</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6/30/15</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0000897423-15-000038</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Swoosh LLC 13D. Last amended June 2016. NOW 6 YEARS STALE despite trust restructuring</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2,8</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E-10</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CORRESP</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2009</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Last known</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13-YEAR SEC correspondence gap. ~4.3x SOX §408 triennial maximum</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9</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E-11</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8-K</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12/15/21</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SEC Release</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SEC proposes 10b5-1 amendments. Nike DOES NOT submit comment letter. Zero references in any filing</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5</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E-12</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8-K</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9/20/22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0000320187-22-000049</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Gil + Swan appointed to board (Item 5.02). Board from 10 to 12</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Context</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E-13</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8-K</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3/11/22</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Credit facility</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$2B revolving credit renewal. BofA admin agent (Item 1.01)</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Context</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E-14</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8-K</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10/6/21</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Meeting results</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FY2021 annual meeting results. Say-on-pay ~72%</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Context</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E-15</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DEF 14A</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FY2023</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0000320187-23-000042</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§16(a) RESTORED again in FY2023 proxy (p.76). Confirms FY2022 was either clean or undisclosed</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3</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E-16</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Exhibit 19</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FY2024</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0000320187-24-000044</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ITP first filed. Confirms policy existed throughout FY2022 but invisible in corpus</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7</w:t>
            </w:r>
          </w:p>
        </w:tc>
      </w:tr>
      <w:tr>
        <w:tc>
          <w:tcPr>
            <w:tcW w:type="dxa" w:w="3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E-17</w:t>
            </w:r>
          </w:p>
        </w:tc>
        <w:tc>
          <w:tcPr>
            <w:tcW w:type="dxa" w:w="8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Litigation</w:t>
            </w:r>
          </w:p>
        </w:tc>
        <w:tc>
          <w:tcPr>
            <w:tcW w:type="dxa" w:w="9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2024</w:t>
            </w:r>
          </w:p>
        </w:tc>
        <w:tc>
          <w:tcPr>
            <w:tcW w:type="dxa" w:w="1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D.Or. 24-cv-010974</w:t>
            </w:r>
          </w:p>
        </w:tc>
        <w:tc>
          <w:tcPr>
            <w:tcW w:type="dxa" w:w="435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In Re Nike Securities Litigation. Class period Mar 2021–Oct 2024 encompasses FY2022. Parker/Donahoe/Friend sold $245M+ during class period</w:t>
            </w:r>
          </w:p>
        </w:tc>
        <w:tc>
          <w:tcPr>
            <w:tcW w:type="dxa" w:w="178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F1B2D"/>
                <w:sz w:val="14"/>
                <w:szCs w:val="14"/>
              </w:rPr>
              <w:t xml:space="preserve">NEW</w:t>
            </w:r>
          </w:p>
        </w:tc>
      </w:tr>
    </w:tbl>
    <w:p>
      <w:r>
        <w:br w:type="page"/>
      </w:r>
    </w:p>
    <w:p>
      <w:pPr>
        <w:pStyle w:val="Heading1"/>
      </w:pPr>
      <w:r>
        <w:t xml:space="preserve">III. Cross-Referencing Results — 7 Systematic Checks</w:t>
      </w:r>
    </w:p>
    <w:p>
      <w:pPr>
        <w:pStyle w:val="Heading2"/>
      </w:pPr>
      <w:r>
        <w:t xml:space="preserve">A) Compensation Cross-Check: ANOMALY NOTED</w:t>
      </w:r>
    </w:p>
    <w:p>
      <w:pPr>
        <w:spacing w:before="0" w:after="110"/>
      </w:pPr>
      <w:r>
        <w:rPr>
          <w:rFonts w:ascii="Arial" w:cs="Arial" w:eastAsia="Arial" w:hAnsi="Arial"/>
          <w:b w:val="false"/>
          <w:bCs w:val="false"/>
          <w:i w:val="false"/>
          <w:iCs w:val="false"/>
          <w:color w:val="1A1A1A"/>
          <w:sz w:val="20"/>
          <w:szCs w:val="20"/>
        </w:rPr>
        <w:t xml:space="preserve">Parker’s proxy SCT target of ~$3.3M versus his Form 4 dispositions of ~$81.7M creates a 25:1 monetization-to-compensation ratio. The proxy CD&amp;A discusses compensation philosophy extensively but never addresses the insider trading framework governing dispositions that are 25x larger than disclosed compensation. Donahoe’s $28.8M total compensation is consistent across 8-K and proxy sources. No numerical discrepancies identified.</w:t>
      </w:r>
    </w:p>
    <w:p>
      <w:pPr>
        <w:pStyle w:val="Heading2"/>
      </w:pPr>
      <w:r>
        <w:t xml:space="preserve">B) Beneficial Ownership Cross-Check: STRUCTURAL CHANGE UNRECORDED</w:t>
      </w:r>
    </w:p>
    <w:p>
      <w:pPr>
        <w:spacing w:before="0" w:after="110"/>
      </w:pPr>
      <w:r>
        <w:rPr>
          <w:rFonts w:ascii="Arial" w:cs="Arial" w:eastAsia="Arial" w:hAnsi="Arial"/>
          <w:b w:val="false"/>
          <w:bCs w:val="false"/>
          <w:i w:val="false"/>
          <w:iCs w:val="false"/>
          <w:color w:val="1A1A1A"/>
          <w:sz w:val="20"/>
          <w:szCs w:val="20"/>
        </w:rPr>
        <w:t xml:space="preserve">The FY2022 proxy reports Swoosh LLC holding 233.5M Class A shares (76.6%) — consistent with 2016 13D. However, the March 2022 Travis Knight trust restructuring changed the governance pathway through which these shares are controlled without a 13D amendment. The beneficial ownership table reflects the economic interest accurately but the governance chain is now materially different from the 6-year-old 13D filing.</w:t>
      </w:r>
    </w:p>
    <w:p>
      <w:pPr>
        <w:pStyle w:val="Heading2"/>
      </w:pPr>
      <w:r>
        <w:t xml:space="preserve">C) Related Party Cross-Check: GAP PERSISTS</w:t>
      </w:r>
    </w:p>
    <w:p>
      <w:pPr>
        <w:spacing w:before="0" w:after="110"/>
      </w:pPr>
      <w:r>
        <w:rPr>
          <w:rFonts w:ascii="Arial" w:cs="Arial" w:eastAsia="Arial" w:hAnsi="Arial"/>
          <w:b w:val="false"/>
          <w:bCs w:val="false"/>
          <w:i w:val="false"/>
          <w:iCs w:val="false"/>
          <w:color w:val="1A1A1A"/>
          <w:sz w:val="20"/>
          <w:szCs w:val="20"/>
        </w:rPr>
        <w:t xml:space="preserve">Knight $500K Chairman Emeritus salary — consistent. Swoosh governance loop (3 of 5 Swoosh votes held by Nike directors) — disclosed ONLY via Knight biography. Travis Knight trust restructuring — disclosed ONLY via Form 4 filing (E-8), absent from proxy Related Party Transactions and all other filing types.</w:t>
      </w:r>
    </w:p>
    <w:p>
      <w:pPr>
        <w:pStyle w:val="Heading2"/>
      </w:pPr>
      <w:r>
        <w:t xml:space="preserve">D) Insider Trading Policy Cross-Check: FAILED (Year 4)</w:t>
      </w:r>
    </w:p>
    <w:p>
      <w:pPr>
        <w:spacing w:before="0" w:after="110"/>
      </w:pPr>
      <w:r>
        <w:rPr>
          <w:rFonts w:ascii="Arial" w:cs="Arial" w:eastAsia="Arial" w:hAnsi="Arial"/>
          <w:b w:val="false"/>
          <w:bCs w:val="false"/>
          <w:i w:val="false"/>
          <w:iCs w:val="false"/>
          <w:color w:val="1A1A1A"/>
          <w:sz w:val="20"/>
          <w:szCs w:val="20"/>
        </w:rPr>
        <w:t xml:space="preserve">Comprehensive search across entire FY2022 corpus: ZERO instances of “10b5-1,” “trading plan,” “insider trading policy,” “blackout,” or “pre-clearance” in 10-K body, 10-Qs, 8-Ks, or proxy CD&amp;A. Parker’s Form 4 footnotes lack 10b5-1 references. The SEC’s 10b5-1 proposal was published December 15, 2021; Nike’s FY2022 proxy (filed July 2022, 7 months later) contained zero response or proactive disclosure.</w:t>
      </w:r>
    </w:p>
    <w:p>
      <w:pPr>
        <w:pStyle w:val="Heading2"/>
      </w:pPr>
      <w:r>
        <w:t xml:space="preserve">E) Timeline Integrity Check: PASSED</w:t>
      </w:r>
    </w:p>
    <w:p>
      <w:pPr>
        <w:spacing w:before="0" w:after="110"/>
      </w:pPr>
      <w:r>
        <w:rPr>
          <w:rFonts w:ascii="Arial" w:cs="Arial" w:eastAsia="Arial" w:hAnsi="Arial"/>
          <w:b w:val="false"/>
          <w:bCs w:val="false"/>
          <w:i w:val="false"/>
          <w:iCs w:val="false"/>
          <w:color w:val="1A1A1A"/>
          <w:sz w:val="20"/>
          <w:szCs w:val="20"/>
        </w:rPr>
        <w:t xml:space="preserve">Filing dates internally consistent. 10-K and proxy both filed July 21, 2022. Proxy record date (July 8, 2022) aligns with 10-K cover page. All Form 4s filed within 2-business-day requirement. No backdated or retroactively filed documents identified.</w:t>
      </w:r>
    </w:p>
    <w:p>
      <w:pPr>
        <w:pStyle w:val="Heading2"/>
      </w:pPr>
      <w:r>
        <w:t xml:space="preserve">F) SEC Engagement Check: FAILED (Year 13)</w:t>
      </w:r>
    </w:p>
    <w:p>
      <w:pPr>
        <w:spacing w:before="0" w:after="110"/>
      </w:pPr>
      <w:r>
        <w:rPr>
          <w:rFonts w:ascii="Arial" w:cs="Arial" w:eastAsia="Arial" w:hAnsi="Arial"/>
          <w:b w:val="false"/>
          <w:bCs w:val="false"/>
          <w:i w:val="false"/>
          <w:iCs w:val="false"/>
          <w:color w:val="1A1A1A"/>
          <w:sz w:val="20"/>
          <w:szCs w:val="20"/>
        </w:rPr>
        <w:t xml:space="preserve">Thirteenth year without SEC comment letter correspondence. No UPLOAD, CORRESP, or no-action filings. The correspondence gap is now approximately 4.3x the SOX §408 triennial review statutory maximum.</w:t>
      </w:r>
    </w:p>
    <w:p>
      <w:pPr>
        <w:pStyle w:val="Heading2"/>
      </w:pPr>
      <w:r>
        <w:t xml:space="preserve">G) Section 16(a) Delinquency Check: ANOMALY — ONE-YEAR DISAPPEARANCE</w:t>
      </w:r>
    </w:p>
    <w:p>
      <w:pPr>
        <w:spacing w:before="0" w:after="110"/>
      </w:pPr>
      <w:r>
        <w:rPr>
          <w:rFonts w:ascii="Arial" w:cs="Arial" w:eastAsia="Arial" w:hAnsi="Arial"/>
          <w:b w:val="false"/>
          <w:bCs w:val="false"/>
          <w:i w:val="false"/>
          <w:iCs w:val="false"/>
          <w:color w:val="1A1A1A"/>
          <w:sz w:val="20"/>
          <w:szCs w:val="20"/>
        </w:rPr>
        <w:t xml:space="preserve">FY2021 proxy: §16(a) section PRESENT (p.70). FY2022 proxy: ABSENT. FY2023 proxy: PRESENT (p.76). The one-year disappearance is either (a) genuine — FY2022 had no delinquencies — or (b) anomalous — delinquencies existed but were not disclosed. No Form 5 filings identified for FY2022 to resolve the ambiguity.</w:t>
      </w:r>
    </w:p>
    <w:p>
      <w:r>
        <w:br w:type="page"/>
      </w:r>
    </w:p>
    <w:p>
      <w:pPr>
        <w:pStyle w:val="Heading1"/>
      </w:pPr>
      <w:r>
        <w:t xml:space="preserve">IV. Recommended Enforcement Actions</w:t>
      </w:r>
    </w:p>
    <w:p>
      <w:pPr>
        <w:pStyle w:val="Heading2"/>
      </w:pPr>
      <w:r>
        <w:t xml:space="preserve">Priority 1: Parker 10b5-1 Plan Subpoena (Cumulative FY2019–FY2022)</w:t>
      </w:r>
    </w:p>
    <w:p>
      <w:pPr>
        <w:spacing w:before="0" w:after="110"/>
      </w:pPr>
      <w:r>
        <w:rPr>
          <w:rFonts w:ascii="Arial" w:cs="Arial" w:eastAsia="Arial" w:hAnsi="Arial"/>
          <w:b w:val="false"/>
          <w:bCs w:val="false"/>
          <w:i w:val="false"/>
          <w:iCs w:val="false"/>
          <w:color w:val="1A1A1A"/>
          <w:sz w:val="20"/>
          <w:szCs w:val="20"/>
        </w:rPr>
        <w:t xml:space="preserve">Parker’s cumulative dispositions now exceed $420 million across four fiscal years with zero 10b5-1 disclosure in any periodic filing. The November 2–3, 2021 all-time-high selling ($27.1M in 2 days) is the single most time-sensitive transaction in the entire dataset. Subpoena all trading plans governing Parker’s FY2022 transactions. Determine whether the plans were adopted before or after Parker possessed awareness of (a) Vietnam factory closure impact, (b) inflation-driven margin pressure, or (c) the inventory build that would later contribute to the securities fraud class action.</w:t>
      </w:r>
    </w:p>
    <w:p>
      <w:pPr>
        <w:pStyle w:val="Heading2"/>
      </w:pPr>
      <w:r>
        <w:t xml:space="preserve">Priority 2: Travis Knight Trust Restructuring / 13D Amendment Deficiency</w:t>
      </w:r>
    </w:p>
    <w:p>
      <w:pPr>
        <w:spacing w:before="0" w:after="110"/>
      </w:pPr>
      <w:r>
        <w:rPr>
          <w:rFonts w:ascii="Arial" w:cs="Arial" w:eastAsia="Arial" w:hAnsi="Arial"/>
          <w:b w:val="false"/>
          <w:bCs w:val="false"/>
          <w:i w:val="false"/>
          <w:iCs w:val="false"/>
          <w:color w:val="1A1A1A"/>
          <w:sz w:val="20"/>
          <w:szCs w:val="20"/>
        </w:rPr>
        <w:t xml:space="preserve">The March 31, 2022 trust restructuring changed the governance pathway for ~41 million Class A shares and triggered a Swoosh LLC company agreement amendment. Under Rule 13d-2, a 13D/A must be filed “promptly” upon any “material change.” The amendment to the Swoosh company agreement is arguably a material change to previously reported information about the governance of Nike’s controlling shareholder. Determine whether Nike’s, Swoosh’s, or Jasper Ridge Partners’ counsel evaluated 13D amendment obligations. The 6-year gap is now unconscionable for a filing that describes the governance of a $170B company’s controlling shareholder.</w:t>
      </w:r>
    </w:p>
    <w:p>
      <w:pPr>
        <w:pStyle w:val="Heading2"/>
      </w:pPr>
      <w:r>
        <w:t xml:space="preserve">Priority 3: SOX §408 Triennial Review Initiation</w:t>
      </w:r>
    </w:p>
    <w:p>
      <w:pPr>
        <w:spacing w:before="0" w:after="110"/>
      </w:pPr>
      <w:r>
        <w:rPr>
          <w:rFonts w:ascii="Arial" w:cs="Arial" w:eastAsia="Arial" w:hAnsi="Arial"/>
          <w:b w:val="false"/>
          <w:bCs w:val="false"/>
          <w:i w:val="false"/>
          <w:iCs w:val="false"/>
          <w:color w:val="1A1A1A"/>
          <w:sz w:val="20"/>
          <w:szCs w:val="20"/>
        </w:rPr>
        <w:t xml:space="preserve">Thirteen years without visible SEC correspondence represents 4.3x the statutory maximum review interval. Initiate a comprehensive triennial review of Nike’s FY2022 10-K/proxy with specific focus on: (a) dual-class risk factor adequacy; (b) Swoosh LLC related party disclosure; (c) Section 16(a) delinquency disclosure practices; (d) insider trading policy description; (e) Travis Knight trust restructuring disclosure.</w:t>
      </w:r>
    </w:p>
    <w:p>
      <w:pPr>
        <w:pStyle w:val="Heading2"/>
      </w:pPr>
      <w:r>
        <w:t xml:space="preserve">Priority 4: Coordinate with Securities Fraud Plaintiffs</w:t>
      </w:r>
    </w:p>
    <w:p>
      <w:pPr>
        <w:spacing w:before="0" w:after="110"/>
      </w:pPr>
      <w:r>
        <w:rPr>
          <w:rFonts w:ascii="Arial" w:cs="Arial" w:eastAsia="Arial" w:hAnsi="Arial"/>
          <w:b w:val="false"/>
          <w:bCs w:val="false"/>
          <w:i w:val="false"/>
          <w:iCs w:val="false"/>
          <w:color w:val="1A1A1A"/>
          <w:sz w:val="20"/>
          <w:szCs w:val="20"/>
        </w:rPr>
        <w:t xml:space="preserve">The pending In Re Nike, Inc. Securities Litigation (D. Or., No. 24-cv-010974) class period (March 2021–October 2024) encompasses the entirety of FY2022. The complaint alleges misrepresentation of the DTC strategy’s viability. Parker, Donahoe, and Friend collectively sold $245M+ during the class period. Discovery in that case may produce insider trading plan documents, internal communications about disclosure decisions, and Swoosh governance records that are not available through EDGAR.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2"/>
        <w:szCs w:val="12"/>
      </w:rPr>
      <w:t xml:space="preserve">PRIVILEGED &amp; CONFIDENTIAL — Nike FY2022 Full-Corpus Evidence Bundle</w:t>
    </w:r>
    <w:r>
      <w:rPr>
        <w:rFonts w:ascii="Arial" w:cs="Arial" w:eastAsia="Arial" w:hAnsi="Arial"/>
        <w:color w:val="999999"/>
        <w:sz w:val="12"/>
        <w:szCs w:val="12"/>
      </w:rPr>
      <w:ptab w:alignment="right" w:relativeTo="margin" w:leader="none"/>
    </w:r>
    <w:r>
      <w:rPr>
        <w:rFonts w:ascii="Arial" w:cs="Arial" w:eastAsia="Arial" w:hAnsi="Arial"/>
        <w:color w:val="999999"/>
        <w:sz w:val="12"/>
        <w:szCs w:val="12"/>
      </w:rPr>
      <w:t xml:space="preserve">Page </w:t>
    </w:r>
    <w:r>
      <w:rPr>
        <w:rFonts w:ascii="Arial" w:cs="Arial" w:eastAsia="Arial" w:hAnsi="Arial"/>
        <w:color w:val="999999"/>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pPr>
    <w:r>
      <w:rPr>
        <w:rFonts w:ascii="Arial" w:cs="Arial" w:eastAsia="Arial" w:hAnsi="Arial"/>
        <w:b/>
        <w:bCs/>
        <w:color w:val="B91C1C"/>
        <w:sz w:val="13"/>
        <w:szCs w:val="13"/>
      </w:rPr>
      <w:t xml:space="preserve">SEC ENFORCEMENT TIP — FULL-CORPUS EDGAR AUDIT — FY2022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0F1B2D"/>
      <w:sz w:val="28"/>
      <w:szCs w:val="28"/>
    </w:rPr>
  </w:style>
  <w:style w:type="paragraph" w:styleId="Heading2">
    <w:name w:val="Heading 2"/>
    <w:basedOn w:val="Normal"/>
    <w:next w:val="Normal"/>
    <w:qFormat/>
    <w:pPr>
      <w:spacing w:before="240" w:after="140"/>
      <w:outlineLvl w:val="1"/>
    </w:pPr>
    <w:rPr>
      <w:rFonts w:ascii="Arial" w:cs="Arial" w:eastAsia="Arial" w:hAnsi="Arial"/>
      <w:b/>
      <w:bCs/>
      <w:color w:val="0F1B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2026-03-10T15:23:03.266Z</dcterms:created>
  <dcterms:modified xsi:type="dcterms:W3CDTF">2026-03-10T15:23:03.269Z</dcterms:modified>
</cp:coreProperties>
</file>

<file path=docProps/custom.xml><?xml version="1.0" encoding="utf-8"?>
<Properties xmlns="http://schemas.openxmlformats.org/officeDocument/2006/custom-properties" xmlns:vt="http://schemas.openxmlformats.org/officeDocument/2006/docPropsVTypes"/>
</file>